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E4694F"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C9787C">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C9787C">
        <w:rPr>
          <w:rFonts w:cs="Arial"/>
          <w:b/>
          <w:bCs/>
          <w:sz w:val="28"/>
          <w:szCs w:val="28"/>
        </w:rPr>
        <w:t>Earth and Environmental Science</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Teachers may make changes to the plan, retaining alignment with the subject outline.</w:t>
      </w:r>
      <w:r w:rsidR="0056030F">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6A2B3D" w:rsidP="00BA2185">
            <w:pPr>
              <w:jc w:val="center"/>
              <w:rPr>
                <w:b/>
              </w:rPr>
            </w:pPr>
          </w:p>
        </w:tc>
        <w:tc>
          <w:tcPr>
            <w:tcW w:w="500" w:type="dxa"/>
            <w:shd w:val="clear" w:color="auto" w:fill="auto"/>
            <w:vAlign w:val="center"/>
          </w:tcPr>
          <w:p w:rsidR="006A2B3D" w:rsidRPr="00F66744" w:rsidRDefault="006A2B3D" w:rsidP="00BA2185">
            <w:pPr>
              <w:jc w:val="center"/>
              <w:rPr>
                <w:b/>
              </w:rPr>
            </w:pPr>
          </w:p>
        </w:tc>
        <w:tc>
          <w:tcPr>
            <w:tcW w:w="500" w:type="dxa"/>
            <w:shd w:val="clear" w:color="auto" w:fill="auto"/>
            <w:vAlign w:val="center"/>
          </w:tcPr>
          <w:p w:rsidR="006A2B3D" w:rsidRPr="003B2B0E" w:rsidRDefault="006A2B3D" w:rsidP="00BA2185">
            <w:pPr>
              <w:jc w:val="center"/>
              <w:rPr>
                <w:b/>
              </w:rPr>
            </w:pP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footerReference w:type="default" r:id="rId9"/>
          <w:headerReference w:type="first" r:id="rId10"/>
          <w:footerReference w:type="first" r:id="rId11"/>
          <w:pgSz w:w="11906" w:h="16838" w:code="237"/>
          <w:pgMar w:top="1134" w:right="1134" w:bottom="1134" w:left="1134" w:header="397" w:footer="170" w:gutter="0"/>
          <w:cols w:space="708"/>
          <w:formProt w:val="0"/>
          <w:titlePg/>
          <w:docGrid w:linePitch="360"/>
        </w:sectPr>
      </w:pPr>
    </w:p>
    <w:p w:rsidR="002A53B7" w:rsidRPr="004963F3" w:rsidRDefault="002A53B7" w:rsidP="00C9787C">
      <w:pPr>
        <w:pStyle w:val="LAPHeading"/>
      </w:pPr>
      <w:r w:rsidRPr="004963F3">
        <w:lastRenderedPageBreak/>
        <w:t xml:space="preserve">Stage </w:t>
      </w:r>
      <w:r>
        <w:t xml:space="preserve">1 </w:t>
      </w:r>
      <w:r w:rsidR="00C9787C">
        <w:t>Earth and Environmental Science</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874"/>
        <w:gridCol w:w="921"/>
        <w:gridCol w:w="922"/>
        <w:gridCol w:w="3543"/>
      </w:tblGrid>
      <w:tr w:rsidR="00C83FF4" w:rsidRPr="004963F3" w:rsidTr="0056030F">
        <w:trPr>
          <w:trHeight w:val="345"/>
          <w:tblHeader/>
        </w:trPr>
        <w:tc>
          <w:tcPr>
            <w:tcW w:w="1474" w:type="dxa"/>
            <w:vMerge w:val="restart"/>
            <w:shd w:val="clear" w:color="auto" w:fill="auto"/>
            <w:vAlign w:val="center"/>
          </w:tcPr>
          <w:p w:rsidR="00C83FF4" w:rsidRPr="00C83FF4" w:rsidRDefault="00C83FF4" w:rsidP="006A6E33">
            <w:pPr>
              <w:pStyle w:val="LAPTableText"/>
              <w:jc w:val="center"/>
              <w:rPr>
                <w:b/>
                <w:sz w:val="20"/>
                <w:szCs w:val="20"/>
                <w:lang w:val="en-US"/>
              </w:rPr>
            </w:pPr>
            <w:r w:rsidRPr="00C83FF4">
              <w:rPr>
                <w:b/>
                <w:sz w:val="20"/>
                <w:szCs w:val="20"/>
                <w:lang w:val="en-US"/>
              </w:rPr>
              <w:t>Assessment Type and Weighting</w:t>
            </w:r>
          </w:p>
        </w:tc>
        <w:tc>
          <w:tcPr>
            <w:tcW w:w="8874" w:type="dxa"/>
            <w:vMerge w:val="restart"/>
            <w:shd w:val="clear" w:color="auto" w:fill="auto"/>
            <w:vAlign w:val="center"/>
          </w:tcPr>
          <w:p w:rsidR="00C83FF4" w:rsidRPr="00C83FF4" w:rsidRDefault="00C83FF4" w:rsidP="006A6E33">
            <w:pPr>
              <w:pStyle w:val="ACLAPTableText"/>
              <w:jc w:val="center"/>
              <w:rPr>
                <w:b/>
              </w:rPr>
            </w:pPr>
            <w:r w:rsidRPr="00C83FF4">
              <w:rPr>
                <w:b/>
              </w:rPr>
              <w:t>Details of assessment</w:t>
            </w:r>
          </w:p>
        </w:tc>
        <w:tc>
          <w:tcPr>
            <w:tcW w:w="1843" w:type="dxa"/>
            <w:gridSpan w:val="2"/>
            <w:shd w:val="clear" w:color="auto" w:fill="auto"/>
            <w:vAlign w:val="center"/>
          </w:tcPr>
          <w:p w:rsidR="00C83FF4" w:rsidRPr="00C83FF4" w:rsidRDefault="00C83FF4" w:rsidP="006A6E33">
            <w:pPr>
              <w:pStyle w:val="ACLAPTableText"/>
              <w:jc w:val="center"/>
              <w:rPr>
                <w:b/>
              </w:rPr>
            </w:pPr>
            <w:r w:rsidRPr="00C83FF4">
              <w:rPr>
                <w:b/>
              </w:rPr>
              <w:t>Assessment Design Criteria</w:t>
            </w:r>
          </w:p>
        </w:tc>
        <w:tc>
          <w:tcPr>
            <w:tcW w:w="3543" w:type="dxa"/>
            <w:vMerge w:val="restart"/>
            <w:shd w:val="clear" w:color="auto" w:fill="auto"/>
            <w:vAlign w:val="center"/>
          </w:tcPr>
          <w:p w:rsidR="00C83FF4" w:rsidRPr="00C83FF4" w:rsidRDefault="00C83FF4" w:rsidP="006A6E33">
            <w:pPr>
              <w:pStyle w:val="ACLAPTableText"/>
              <w:jc w:val="center"/>
              <w:rPr>
                <w:b/>
              </w:rPr>
            </w:pPr>
            <w:r w:rsidRPr="00C83FF4">
              <w:rPr>
                <w:b/>
              </w:rPr>
              <w:t>Assessment conditions</w:t>
            </w:r>
          </w:p>
          <w:p w:rsidR="00C83FF4" w:rsidRPr="00C83FF4" w:rsidRDefault="00C83FF4" w:rsidP="006A6E33">
            <w:pPr>
              <w:pStyle w:val="ACLAPTableText"/>
              <w:jc w:val="center"/>
            </w:pPr>
            <w:r w:rsidRPr="00C83FF4">
              <w:t>(e.g. task type, word length, time allocated, supervision)</w:t>
            </w:r>
          </w:p>
        </w:tc>
      </w:tr>
      <w:tr w:rsidR="00C83FF4" w:rsidRPr="004963F3" w:rsidTr="0056030F">
        <w:trPr>
          <w:trHeight w:val="345"/>
          <w:tblHeader/>
        </w:trPr>
        <w:tc>
          <w:tcPr>
            <w:tcW w:w="1474" w:type="dxa"/>
            <w:vMerge/>
            <w:shd w:val="clear" w:color="auto" w:fill="auto"/>
            <w:vAlign w:val="center"/>
          </w:tcPr>
          <w:p w:rsidR="00C83FF4" w:rsidRPr="00C83FF4" w:rsidRDefault="00C83FF4" w:rsidP="006A6E33">
            <w:pPr>
              <w:jc w:val="center"/>
              <w:rPr>
                <w:rFonts w:cs="Arial"/>
                <w:b/>
                <w:bCs/>
                <w:sz w:val="20"/>
                <w:szCs w:val="20"/>
                <w:lang w:val="en-US"/>
              </w:rPr>
            </w:pPr>
          </w:p>
        </w:tc>
        <w:tc>
          <w:tcPr>
            <w:tcW w:w="8874" w:type="dxa"/>
            <w:vMerge/>
            <w:shd w:val="clear" w:color="auto" w:fill="auto"/>
            <w:vAlign w:val="center"/>
          </w:tcPr>
          <w:p w:rsidR="00C83FF4" w:rsidRPr="00C83FF4" w:rsidRDefault="00C83FF4" w:rsidP="006A6E33">
            <w:pPr>
              <w:jc w:val="center"/>
              <w:rPr>
                <w:rFonts w:cs="Arial"/>
                <w:b/>
                <w:bCs/>
                <w:sz w:val="20"/>
                <w:szCs w:val="20"/>
                <w:lang w:val="en-US"/>
              </w:rPr>
            </w:pPr>
          </w:p>
        </w:tc>
        <w:tc>
          <w:tcPr>
            <w:tcW w:w="921" w:type="dxa"/>
            <w:shd w:val="clear" w:color="auto" w:fill="auto"/>
            <w:vAlign w:val="center"/>
          </w:tcPr>
          <w:p w:rsidR="00C83FF4" w:rsidRPr="00C83FF4" w:rsidRDefault="00C83FF4" w:rsidP="006A6E33">
            <w:pPr>
              <w:jc w:val="center"/>
              <w:rPr>
                <w:rFonts w:cs="Arial"/>
                <w:b/>
                <w:bCs/>
                <w:sz w:val="20"/>
                <w:szCs w:val="20"/>
                <w:lang w:val="en-US"/>
              </w:rPr>
            </w:pPr>
            <w:r w:rsidRPr="00C83FF4">
              <w:rPr>
                <w:rFonts w:cs="Arial"/>
                <w:b/>
                <w:bCs/>
                <w:sz w:val="20"/>
                <w:szCs w:val="20"/>
                <w:lang w:val="en-US"/>
              </w:rPr>
              <w:t>IAE</w:t>
            </w:r>
          </w:p>
        </w:tc>
        <w:tc>
          <w:tcPr>
            <w:tcW w:w="922" w:type="dxa"/>
            <w:shd w:val="clear" w:color="auto" w:fill="auto"/>
            <w:vAlign w:val="center"/>
          </w:tcPr>
          <w:p w:rsidR="00C83FF4" w:rsidRPr="00C83FF4" w:rsidRDefault="00C83FF4" w:rsidP="006A6E33">
            <w:pPr>
              <w:jc w:val="center"/>
              <w:rPr>
                <w:rFonts w:cs="Arial"/>
                <w:b/>
                <w:bCs/>
                <w:sz w:val="20"/>
                <w:szCs w:val="20"/>
                <w:lang w:val="en-US"/>
              </w:rPr>
            </w:pPr>
            <w:r w:rsidRPr="00C83FF4">
              <w:rPr>
                <w:rFonts w:cs="Arial"/>
                <w:b/>
                <w:bCs/>
                <w:sz w:val="20"/>
                <w:szCs w:val="20"/>
                <w:lang w:val="en-US"/>
              </w:rPr>
              <w:t>KA</w:t>
            </w:r>
          </w:p>
        </w:tc>
        <w:tc>
          <w:tcPr>
            <w:tcW w:w="3543" w:type="dxa"/>
            <w:vMerge/>
            <w:shd w:val="clear" w:color="auto" w:fill="auto"/>
            <w:vAlign w:val="center"/>
          </w:tcPr>
          <w:p w:rsidR="00C83FF4" w:rsidRPr="00C83FF4" w:rsidRDefault="00C83FF4" w:rsidP="006A6E33">
            <w:pPr>
              <w:rPr>
                <w:rFonts w:cs="Arial"/>
                <w:sz w:val="20"/>
                <w:szCs w:val="20"/>
                <w:lang w:val="en-US"/>
              </w:rPr>
            </w:pPr>
          </w:p>
        </w:tc>
      </w:tr>
      <w:tr w:rsidR="00C83FF4" w:rsidRPr="004963F3" w:rsidTr="0056030F">
        <w:trPr>
          <w:trHeight w:val="1510"/>
        </w:trPr>
        <w:tc>
          <w:tcPr>
            <w:tcW w:w="1474" w:type="dxa"/>
            <w:vMerge w:val="restart"/>
            <w:shd w:val="clear" w:color="auto" w:fill="auto"/>
            <w:vAlign w:val="center"/>
          </w:tcPr>
          <w:p w:rsidR="00C83FF4" w:rsidRPr="00C83FF4" w:rsidRDefault="00C83FF4" w:rsidP="006A6E33">
            <w:pPr>
              <w:pStyle w:val="LAPTableText"/>
              <w:ind w:right="-96"/>
              <w:jc w:val="center"/>
              <w:rPr>
                <w:b/>
                <w:sz w:val="20"/>
                <w:szCs w:val="20"/>
                <w:lang w:val="en-US"/>
              </w:rPr>
            </w:pPr>
            <w:r w:rsidRPr="00C83FF4">
              <w:rPr>
                <w:b/>
                <w:sz w:val="20"/>
                <w:szCs w:val="20"/>
                <w:lang w:val="en-US"/>
              </w:rPr>
              <w:t>Assessment Type 1: Investigations Folio</w:t>
            </w:r>
          </w:p>
          <w:p w:rsidR="00C83FF4" w:rsidRPr="00C83FF4" w:rsidRDefault="00C83FF4" w:rsidP="006A6E33">
            <w:pPr>
              <w:pStyle w:val="LAPTableText"/>
              <w:ind w:right="-96"/>
              <w:jc w:val="center"/>
              <w:rPr>
                <w:sz w:val="20"/>
                <w:szCs w:val="20"/>
                <w:lang w:val="en-US"/>
              </w:rPr>
            </w:pPr>
          </w:p>
          <w:p w:rsidR="00C83FF4" w:rsidRPr="00C83FF4" w:rsidRDefault="00C83FF4" w:rsidP="006A6E33">
            <w:pPr>
              <w:pStyle w:val="LAPTableText"/>
              <w:ind w:right="-96"/>
              <w:jc w:val="center"/>
              <w:rPr>
                <w:sz w:val="20"/>
                <w:szCs w:val="20"/>
                <w:lang w:val="en-US"/>
              </w:rPr>
            </w:pPr>
            <w:r w:rsidRPr="00C83FF4">
              <w:rPr>
                <w:sz w:val="20"/>
                <w:szCs w:val="20"/>
                <w:lang w:val="en-US"/>
              </w:rPr>
              <w:t xml:space="preserve">Weighting </w:t>
            </w:r>
          </w:p>
          <w:p w:rsidR="00C83FF4" w:rsidRPr="00C83FF4" w:rsidRDefault="00CD26C9" w:rsidP="006A6E33">
            <w:pPr>
              <w:pStyle w:val="LAPTableText"/>
              <w:ind w:right="-96"/>
              <w:jc w:val="center"/>
              <w:rPr>
                <w:b/>
                <w:sz w:val="20"/>
                <w:szCs w:val="20"/>
                <w:lang w:val="en-US"/>
              </w:rPr>
            </w:pPr>
            <w:r>
              <w:rPr>
                <w:sz w:val="20"/>
                <w:szCs w:val="20"/>
                <w:lang w:val="en-US"/>
              </w:rPr>
              <w:t>60</w:t>
            </w:r>
            <w:r w:rsidR="00C83FF4" w:rsidRPr="00C83FF4">
              <w:rPr>
                <w:sz w:val="20"/>
                <w:szCs w:val="20"/>
                <w:lang w:val="en-US"/>
              </w:rPr>
              <w:t>%</w:t>
            </w:r>
          </w:p>
        </w:tc>
        <w:tc>
          <w:tcPr>
            <w:tcW w:w="8874" w:type="dxa"/>
            <w:shd w:val="clear" w:color="auto" w:fill="auto"/>
            <w:vAlign w:val="center"/>
          </w:tcPr>
          <w:p w:rsidR="00C83FF4" w:rsidRDefault="00C83FF4" w:rsidP="006A6E33">
            <w:pPr>
              <w:pStyle w:val="ACLAPTableText"/>
            </w:pPr>
            <w:r w:rsidRPr="00C83FF4">
              <w:t xml:space="preserve">Students investigate water sustainability as an example of science as a human endeavour. Students use an infographic about global water resources to evaluate potential solutions that provide sustainable water resources in regions where quality water supplies are scarce. </w:t>
            </w:r>
          </w:p>
          <w:p w:rsidR="00A17B01" w:rsidRPr="00A17B01" w:rsidRDefault="00A17B01" w:rsidP="00A17B01">
            <w:pPr>
              <w:spacing w:before="120"/>
              <w:rPr>
                <w:sz w:val="20"/>
                <w:szCs w:val="20"/>
              </w:rPr>
            </w:pPr>
            <w:r>
              <w:rPr>
                <w:sz w:val="20"/>
                <w:szCs w:val="20"/>
              </w:rPr>
              <w:t>The presentation must include</w:t>
            </w:r>
            <w:r w:rsidRPr="00A17B01">
              <w:rPr>
                <w:sz w:val="20"/>
                <w:szCs w:val="20"/>
              </w:rPr>
              <w:t xml:space="preserve"> use of scientific terminology and:</w:t>
            </w:r>
          </w:p>
          <w:p w:rsidR="00A17B01" w:rsidRPr="00A17B01" w:rsidRDefault="00A17B01" w:rsidP="00A17B01">
            <w:pPr>
              <w:pStyle w:val="SOFinalBullet"/>
              <w:ind w:left="709"/>
              <w:rPr>
                <w:sz w:val="20"/>
                <w:szCs w:val="20"/>
              </w:rPr>
            </w:pPr>
            <w:r w:rsidRPr="00A17B01">
              <w:rPr>
                <w:sz w:val="20"/>
                <w:szCs w:val="20"/>
              </w:rPr>
              <w:t>an introduction to identify the focus of the investigation and how it links to science as a human endeavour</w:t>
            </w:r>
          </w:p>
          <w:p w:rsidR="00A17B01" w:rsidRPr="00A17B01" w:rsidRDefault="00A17B01" w:rsidP="00A17B01">
            <w:pPr>
              <w:pStyle w:val="SOFinalBullet"/>
              <w:ind w:left="709"/>
              <w:rPr>
                <w:sz w:val="20"/>
                <w:szCs w:val="20"/>
              </w:rPr>
            </w:pPr>
            <w:r w:rsidRPr="00A17B01">
              <w:rPr>
                <w:sz w:val="20"/>
                <w:szCs w:val="20"/>
              </w:rPr>
              <w:t>relevant earth and environmental science concepts or background</w:t>
            </w:r>
          </w:p>
          <w:p w:rsidR="00A17B01" w:rsidRPr="00A17B01" w:rsidRDefault="00A17B01" w:rsidP="00A17B01">
            <w:pPr>
              <w:pStyle w:val="SOFinalBullet"/>
              <w:ind w:left="709"/>
              <w:rPr>
                <w:sz w:val="20"/>
                <w:szCs w:val="20"/>
              </w:rPr>
            </w:pPr>
            <w:r w:rsidRPr="00A17B01">
              <w:rPr>
                <w:sz w:val="20"/>
                <w:szCs w:val="20"/>
              </w:rPr>
              <w:t>an explanation of the impact or significance of the focus of the investigation e.g. potential of new development, effect on quality of life, environmental implications, economic impact, intrinsic interest</w:t>
            </w:r>
          </w:p>
          <w:p w:rsidR="00A17B01" w:rsidRPr="00A17B01" w:rsidRDefault="00A17B01" w:rsidP="00A17B01">
            <w:pPr>
              <w:pStyle w:val="SOFinalBullet"/>
              <w:ind w:left="709"/>
              <w:rPr>
                <w:sz w:val="20"/>
                <w:szCs w:val="20"/>
              </w:rPr>
            </w:pPr>
            <w:r w:rsidRPr="00A17B01">
              <w:rPr>
                <w:sz w:val="20"/>
                <w:szCs w:val="20"/>
              </w:rPr>
              <w:t>a conclusion with justification</w:t>
            </w:r>
          </w:p>
          <w:p w:rsidR="00200729" w:rsidRPr="00C83FF4" w:rsidRDefault="00A17B01" w:rsidP="0056030F">
            <w:pPr>
              <w:pStyle w:val="SOFinalBullet"/>
              <w:spacing w:after="120"/>
              <w:ind w:left="709" w:hanging="357"/>
            </w:pPr>
            <w:proofErr w:type="gramStart"/>
            <w:r w:rsidRPr="00A17B01">
              <w:rPr>
                <w:sz w:val="20"/>
                <w:szCs w:val="20"/>
              </w:rPr>
              <w:t>citations</w:t>
            </w:r>
            <w:proofErr w:type="gramEnd"/>
            <w:r w:rsidRPr="00A17B01">
              <w:rPr>
                <w:sz w:val="20"/>
                <w:szCs w:val="20"/>
              </w:rPr>
              <w:t xml:space="preserve"> and referencing.</w:t>
            </w:r>
          </w:p>
        </w:tc>
        <w:tc>
          <w:tcPr>
            <w:tcW w:w="921" w:type="dxa"/>
            <w:shd w:val="clear" w:color="auto" w:fill="auto"/>
            <w:vAlign w:val="center"/>
          </w:tcPr>
          <w:p w:rsidR="00C83FF4" w:rsidRPr="00C83FF4" w:rsidRDefault="00C83FF4" w:rsidP="006A6E33">
            <w:pPr>
              <w:pStyle w:val="ACLAPTableText"/>
            </w:pPr>
            <w:r w:rsidRPr="00C83FF4">
              <w:t>3</w:t>
            </w:r>
          </w:p>
        </w:tc>
        <w:tc>
          <w:tcPr>
            <w:tcW w:w="922" w:type="dxa"/>
            <w:shd w:val="clear" w:color="auto" w:fill="auto"/>
            <w:vAlign w:val="center"/>
          </w:tcPr>
          <w:p w:rsidR="00C83FF4" w:rsidRPr="00C83FF4" w:rsidRDefault="00C83FF4" w:rsidP="006A6E33">
            <w:pPr>
              <w:pStyle w:val="ACLAPTableText"/>
            </w:pPr>
            <w:r w:rsidRPr="00C83FF4">
              <w:t>3, 4</w:t>
            </w:r>
          </w:p>
        </w:tc>
        <w:tc>
          <w:tcPr>
            <w:tcW w:w="3543" w:type="dxa"/>
            <w:shd w:val="clear" w:color="auto" w:fill="auto"/>
            <w:vAlign w:val="center"/>
          </w:tcPr>
          <w:p w:rsidR="00C83FF4" w:rsidRPr="00C83FF4" w:rsidRDefault="00C83FF4" w:rsidP="006A6E33">
            <w:pPr>
              <w:spacing w:before="60" w:after="60"/>
              <w:rPr>
                <w:sz w:val="20"/>
                <w:szCs w:val="20"/>
              </w:rPr>
            </w:pPr>
            <w:r w:rsidRPr="00C83FF4">
              <w:rPr>
                <w:sz w:val="20"/>
                <w:szCs w:val="20"/>
              </w:rPr>
              <w:t>Students can present their findings in a format of their own choice, with a maximum of 1000 words if written or a maximum of 6 minutes for an oral presentation, or the equivalent in multimodal form.</w:t>
            </w:r>
          </w:p>
        </w:tc>
      </w:tr>
      <w:tr w:rsidR="00C83FF4" w:rsidRPr="004963F3" w:rsidTr="0056030F">
        <w:trPr>
          <w:trHeight w:val="1843"/>
        </w:trPr>
        <w:tc>
          <w:tcPr>
            <w:tcW w:w="1474" w:type="dxa"/>
            <w:vMerge/>
            <w:shd w:val="clear" w:color="auto" w:fill="auto"/>
            <w:vAlign w:val="center"/>
          </w:tcPr>
          <w:p w:rsidR="00C83FF4" w:rsidRPr="00C83FF4" w:rsidRDefault="00C83FF4" w:rsidP="006A6E33">
            <w:pPr>
              <w:pStyle w:val="LAPTableText"/>
              <w:jc w:val="center"/>
              <w:rPr>
                <w:b/>
                <w:sz w:val="20"/>
                <w:szCs w:val="20"/>
                <w:lang w:val="en-US"/>
              </w:rPr>
            </w:pPr>
          </w:p>
        </w:tc>
        <w:tc>
          <w:tcPr>
            <w:tcW w:w="8874" w:type="dxa"/>
            <w:shd w:val="clear" w:color="auto" w:fill="auto"/>
            <w:vAlign w:val="center"/>
          </w:tcPr>
          <w:p w:rsidR="00C83FF4" w:rsidRDefault="00C83FF4" w:rsidP="006A6E33">
            <w:pPr>
              <w:pStyle w:val="ACLAPTableText"/>
            </w:pPr>
            <w:r w:rsidRPr="00C83FF4">
              <w:t xml:space="preserve">Students </w:t>
            </w:r>
            <w:r w:rsidR="00C077EB" w:rsidRPr="00C83FF4">
              <w:t xml:space="preserve">individually </w:t>
            </w:r>
            <w:r w:rsidRPr="00C83FF4">
              <w:t xml:space="preserve">design a field investigation about one aspect of environmental damage caused by acid leaching at Brukunga Mine. Their </w:t>
            </w:r>
            <w:r w:rsidR="00C077EB">
              <w:t>investigation question</w:t>
            </w:r>
            <w:r w:rsidRPr="00C83FF4">
              <w:t xml:space="preserve"> is based on research into the history of the area. At the mine site, students collaborate in groups of 2 or 3 to </w:t>
            </w:r>
            <w:r w:rsidR="00C077EB">
              <w:t>choose one</w:t>
            </w:r>
            <w:r w:rsidRPr="00C83FF4">
              <w:t xml:space="preserve"> of the</w:t>
            </w:r>
            <w:r w:rsidR="00C077EB">
              <w:t>ir</w:t>
            </w:r>
            <w:r w:rsidRPr="00C83FF4">
              <w:t xml:space="preserve"> designs </w:t>
            </w:r>
            <w:r w:rsidR="008C4624">
              <w:t xml:space="preserve">and questions </w:t>
            </w:r>
            <w:r w:rsidRPr="00C83FF4">
              <w:t xml:space="preserve">and </w:t>
            </w:r>
            <w:r w:rsidR="00C077EB">
              <w:t>make</w:t>
            </w:r>
            <w:r w:rsidRPr="00C83FF4">
              <w:t xml:space="preserve"> </w:t>
            </w:r>
            <w:r w:rsidR="00C077EB" w:rsidRPr="00C83FF4">
              <w:t>modifi</w:t>
            </w:r>
            <w:r w:rsidR="00C077EB">
              <w:t>cations</w:t>
            </w:r>
            <w:r w:rsidRPr="00C83FF4">
              <w:t xml:space="preserve"> for a more effective investigation. They implement the design to collect data together. Individually, students display, analyse, and evaluate their data in a written report. Students use their results to </w:t>
            </w:r>
            <w:r w:rsidR="00C077EB">
              <w:t>answer their question.</w:t>
            </w:r>
          </w:p>
          <w:p w:rsidR="003F11C4" w:rsidRPr="003F11C4" w:rsidRDefault="003F11C4" w:rsidP="003F11C4">
            <w:pPr>
              <w:pStyle w:val="SOBodyText"/>
              <w:rPr>
                <w:sz w:val="20"/>
              </w:rPr>
            </w:pPr>
            <w:r>
              <w:rPr>
                <w:sz w:val="20"/>
              </w:rPr>
              <w:t>The</w:t>
            </w:r>
            <w:r w:rsidRPr="003F11C4">
              <w:rPr>
                <w:sz w:val="20"/>
              </w:rPr>
              <w:t xml:space="preserve"> report should include:</w:t>
            </w:r>
          </w:p>
          <w:p w:rsidR="003F11C4" w:rsidRDefault="003F11C4" w:rsidP="003F11C4">
            <w:pPr>
              <w:pStyle w:val="SOBullet"/>
              <w:rPr>
                <w:sz w:val="20"/>
              </w:rPr>
            </w:pPr>
            <w:r>
              <w:rPr>
                <w:sz w:val="20"/>
              </w:rPr>
              <w:t xml:space="preserve">an </w:t>
            </w:r>
            <w:r w:rsidRPr="003F11C4">
              <w:rPr>
                <w:sz w:val="20"/>
              </w:rPr>
              <w:t xml:space="preserve">introduction with relevant </w:t>
            </w:r>
            <w:r>
              <w:rPr>
                <w:sz w:val="20"/>
              </w:rPr>
              <w:t>earth and environmental science concepts</w:t>
            </w:r>
          </w:p>
          <w:p w:rsidR="003F11C4" w:rsidRPr="003F11C4" w:rsidRDefault="00CE5842" w:rsidP="003F11C4">
            <w:pPr>
              <w:pStyle w:val="SOBullet"/>
              <w:rPr>
                <w:sz w:val="20"/>
              </w:rPr>
            </w:pPr>
            <w:r>
              <w:rPr>
                <w:sz w:val="20"/>
              </w:rPr>
              <w:t xml:space="preserve">a hypothesis and variables or </w:t>
            </w:r>
            <w:r w:rsidR="003F11C4">
              <w:rPr>
                <w:sz w:val="20"/>
              </w:rPr>
              <w:t>an</w:t>
            </w:r>
            <w:r w:rsidR="003F11C4" w:rsidRPr="003F11C4">
              <w:rPr>
                <w:sz w:val="20"/>
              </w:rPr>
              <w:t xml:space="preserve"> investigable question</w:t>
            </w:r>
          </w:p>
          <w:p w:rsidR="003F11C4" w:rsidRPr="003F11C4" w:rsidRDefault="003F11C4" w:rsidP="003F11C4">
            <w:pPr>
              <w:pStyle w:val="SOBullet"/>
              <w:rPr>
                <w:sz w:val="20"/>
              </w:rPr>
            </w:pPr>
            <w:r w:rsidRPr="003F11C4">
              <w:rPr>
                <w:sz w:val="20"/>
              </w:rPr>
              <w:t>materials/apparatus, method/procedure outlining steps taken</w:t>
            </w:r>
          </w:p>
          <w:p w:rsidR="003F11C4" w:rsidRPr="003F11C4" w:rsidRDefault="003F11C4" w:rsidP="003F11C4">
            <w:pPr>
              <w:pStyle w:val="SOBullet"/>
              <w:rPr>
                <w:sz w:val="20"/>
              </w:rPr>
            </w:pPr>
            <w:r w:rsidRPr="003F11C4">
              <w:rPr>
                <w:sz w:val="20"/>
              </w:rPr>
              <w:t>identification and management of safety and/or ethical risks</w:t>
            </w:r>
          </w:p>
          <w:p w:rsidR="003F11C4" w:rsidRPr="003F11C4" w:rsidRDefault="003F11C4" w:rsidP="003F11C4">
            <w:pPr>
              <w:pStyle w:val="SOBullet"/>
              <w:rPr>
                <w:sz w:val="20"/>
              </w:rPr>
            </w:pPr>
            <w:r w:rsidRPr="003F11C4">
              <w:rPr>
                <w:sz w:val="20"/>
              </w:rPr>
              <w:t>results</w:t>
            </w:r>
          </w:p>
          <w:p w:rsidR="003F11C4" w:rsidRPr="003F11C4" w:rsidRDefault="003F11C4" w:rsidP="003F11C4">
            <w:pPr>
              <w:pStyle w:val="SOBullet"/>
              <w:rPr>
                <w:sz w:val="20"/>
              </w:rPr>
            </w:pPr>
            <w:r w:rsidRPr="003F11C4">
              <w:rPr>
                <w:sz w:val="20"/>
              </w:rPr>
              <w:t>analysis of results, identifying trends, and linking results to concepts</w:t>
            </w:r>
          </w:p>
          <w:p w:rsidR="003F11C4" w:rsidRPr="003F11C4" w:rsidRDefault="003F11C4" w:rsidP="003F11C4">
            <w:pPr>
              <w:pStyle w:val="SOBullet"/>
              <w:rPr>
                <w:sz w:val="20"/>
              </w:rPr>
            </w:pPr>
            <w:r w:rsidRPr="003F11C4">
              <w:rPr>
                <w:sz w:val="20"/>
              </w:rPr>
              <w:t>evaluation of procedures and data, identifying sources of uncertainty</w:t>
            </w:r>
          </w:p>
          <w:p w:rsidR="00200729" w:rsidRPr="00C83FF4" w:rsidRDefault="003F11C4" w:rsidP="0056030F">
            <w:pPr>
              <w:pStyle w:val="SOBullet"/>
              <w:spacing w:after="120"/>
            </w:pPr>
            <w:r w:rsidRPr="003F11C4">
              <w:rPr>
                <w:sz w:val="20"/>
              </w:rPr>
              <w:t>conclusion</w:t>
            </w:r>
            <w:r w:rsidR="00200729" w:rsidRPr="00A17B01">
              <w:rPr>
                <w:sz w:val="20"/>
                <w:szCs w:val="20"/>
              </w:rPr>
              <w:t xml:space="preserve"> with justification</w:t>
            </w:r>
            <w:r w:rsidRPr="003F11C4">
              <w:rPr>
                <w:sz w:val="20"/>
              </w:rPr>
              <w:t>.</w:t>
            </w:r>
          </w:p>
        </w:tc>
        <w:tc>
          <w:tcPr>
            <w:tcW w:w="921" w:type="dxa"/>
            <w:shd w:val="clear" w:color="auto" w:fill="auto"/>
            <w:vAlign w:val="center"/>
          </w:tcPr>
          <w:p w:rsidR="00C83FF4" w:rsidRPr="00C83FF4" w:rsidRDefault="00C83FF4" w:rsidP="006A6E33">
            <w:pPr>
              <w:pStyle w:val="ACLAPTableText"/>
              <w:ind w:left="-44" w:right="-108"/>
            </w:pPr>
            <w:r w:rsidRPr="00C83FF4">
              <w:t>1, 2, 3, 4</w:t>
            </w:r>
          </w:p>
        </w:tc>
        <w:tc>
          <w:tcPr>
            <w:tcW w:w="922" w:type="dxa"/>
            <w:shd w:val="clear" w:color="auto" w:fill="auto"/>
            <w:vAlign w:val="center"/>
          </w:tcPr>
          <w:p w:rsidR="00C83FF4" w:rsidRPr="00C83FF4" w:rsidRDefault="008C4624" w:rsidP="006A6E33">
            <w:pPr>
              <w:pStyle w:val="ACLAPTableText"/>
            </w:pPr>
            <w:r>
              <w:t>1</w:t>
            </w:r>
          </w:p>
        </w:tc>
        <w:tc>
          <w:tcPr>
            <w:tcW w:w="3543" w:type="dxa"/>
            <w:shd w:val="clear" w:color="auto" w:fill="auto"/>
            <w:vAlign w:val="center"/>
          </w:tcPr>
          <w:p w:rsidR="00C83FF4" w:rsidRDefault="00C83FF4" w:rsidP="006A6E33">
            <w:pPr>
              <w:pStyle w:val="ACLAPTableText"/>
            </w:pPr>
            <w:r w:rsidRPr="00C83FF4">
              <w:t>Students work individually to research background information. They work in pairs or threes to perform the investigation under supervision and then prepare individual reports. The task is completed in 2–3 weeks.</w:t>
            </w:r>
          </w:p>
          <w:p w:rsidR="00A17B01" w:rsidRPr="0056030F" w:rsidRDefault="00A17B01" w:rsidP="0056030F">
            <w:pPr>
              <w:pStyle w:val="SOBodyText"/>
              <w:rPr>
                <w:rFonts w:eastAsia="Calibri" w:cs="Arial"/>
                <w:color w:val="auto"/>
                <w:sz w:val="20"/>
                <w:szCs w:val="20"/>
                <w:lang w:val="en-AU"/>
              </w:rPr>
            </w:pPr>
            <w:r w:rsidRPr="00A17B01">
              <w:rPr>
                <w:sz w:val="20"/>
              </w:rPr>
              <w:t>The report should be a maximum of 1000 words, if written or a maximum of 6 minutes for an oral presentation or the equivalent in multimodal form.</w:t>
            </w:r>
            <w:r>
              <w:rPr>
                <w:sz w:val="20"/>
              </w:rPr>
              <w:t xml:space="preserve"> </w:t>
            </w:r>
            <w:r w:rsidRPr="00A17B01">
              <w:rPr>
                <w:rFonts w:eastAsia="Calibri" w:cs="Arial"/>
                <w:color w:val="auto"/>
                <w:sz w:val="20"/>
                <w:szCs w:val="20"/>
                <w:lang w:val="en-AU"/>
              </w:rPr>
              <w:t>The materials/apparatus, method/procedure outlining steps to be taken, identification and management of safety and/or ethical risks, and results sections are excluded from the word count.</w:t>
            </w:r>
            <w:bookmarkStart w:id="0" w:name="_GoBack"/>
            <w:bookmarkEnd w:id="0"/>
          </w:p>
        </w:tc>
      </w:tr>
      <w:tr w:rsidR="00C83FF4" w:rsidRPr="004963F3" w:rsidTr="0056030F">
        <w:trPr>
          <w:trHeight w:val="1194"/>
        </w:trPr>
        <w:tc>
          <w:tcPr>
            <w:tcW w:w="1474" w:type="dxa"/>
            <w:vMerge w:val="restart"/>
            <w:tcBorders>
              <w:top w:val="single" w:sz="12" w:space="0" w:color="auto"/>
            </w:tcBorders>
            <w:shd w:val="clear" w:color="auto" w:fill="auto"/>
            <w:vAlign w:val="center"/>
          </w:tcPr>
          <w:p w:rsidR="00C83FF4" w:rsidRPr="00C83FF4" w:rsidRDefault="00C83FF4" w:rsidP="006A6E33">
            <w:pPr>
              <w:pStyle w:val="LAPTableText"/>
              <w:jc w:val="center"/>
              <w:rPr>
                <w:b/>
                <w:sz w:val="20"/>
                <w:szCs w:val="20"/>
                <w:lang w:val="en-US"/>
              </w:rPr>
            </w:pPr>
            <w:r w:rsidRPr="00C83FF4">
              <w:rPr>
                <w:b/>
                <w:sz w:val="20"/>
                <w:szCs w:val="20"/>
                <w:lang w:val="en-US"/>
              </w:rPr>
              <w:lastRenderedPageBreak/>
              <w:t>Assessment Type 2: Skills and Applications Tasks</w:t>
            </w:r>
          </w:p>
          <w:p w:rsidR="00C83FF4" w:rsidRPr="00C83FF4" w:rsidRDefault="00C83FF4" w:rsidP="006A6E33">
            <w:pPr>
              <w:pStyle w:val="LAPTableText"/>
              <w:jc w:val="center"/>
              <w:rPr>
                <w:sz w:val="20"/>
                <w:szCs w:val="20"/>
                <w:lang w:val="en-US"/>
              </w:rPr>
            </w:pPr>
          </w:p>
          <w:p w:rsidR="00C83FF4" w:rsidRPr="00C83FF4" w:rsidRDefault="00C83FF4" w:rsidP="006A6E33">
            <w:pPr>
              <w:pStyle w:val="LAPTableText"/>
              <w:jc w:val="center"/>
              <w:rPr>
                <w:sz w:val="20"/>
                <w:szCs w:val="20"/>
                <w:lang w:val="en-US"/>
              </w:rPr>
            </w:pPr>
            <w:r w:rsidRPr="00C83FF4">
              <w:rPr>
                <w:sz w:val="20"/>
                <w:szCs w:val="20"/>
                <w:lang w:val="en-US"/>
              </w:rPr>
              <w:t xml:space="preserve">Weighting </w:t>
            </w:r>
          </w:p>
          <w:p w:rsidR="00C83FF4" w:rsidRPr="0080225F" w:rsidRDefault="00CD26C9" w:rsidP="0080225F">
            <w:pPr>
              <w:pStyle w:val="LAPTableText"/>
              <w:jc w:val="center"/>
              <w:rPr>
                <w:sz w:val="20"/>
                <w:szCs w:val="20"/>
                <w:lang w:val="en-US"/>
              </w:rPr>
            </w:pPr>
            <w:r>
              <w:rPr>
                <w:sz w:val="20"/>
                <w:szCs w:val="20"/>
                <w:lang w:val="en-US"/>
              </w:rPr>
              <w:t>40</w:t>
            </w:r>
            <w:r w:rsidR="00C83FF4" w:rsidRPr="00C83FF4">
              <w:rPr>
                <w:sz w:val="20"/>
                <w:szCs w:val="20"/>
                <w:lang w:val="en-US"/>
              </w:rPr>
              <w:t>%</w:t>
            </w:r>
          </w:p>
        </w:tc>
        <w:tc>
          <w:tcPr>
            <w:tcW w:w="8874" w:type="dxa"/>
            <w:tcBorders>
              <w:top w:val="single" w:sz="12" w:space="0" w:color="auto"/>
            </w:tcBorders>
            <w:shd w:val="clear" w:color="auto" w:fill="auto"/>
          </w:tcPr>
          <w:p w:rsidR="00200729" w:rsidRPr="00C83FF4" w:rsidRDefault="0055637E" w:rsidP="0056030F">
            <w:pPr>
              <w:pStyle w:val="ACLAPTableText"/>
              <w:spacing w:before="0" w:after="120"/>
              <w:rPr>
                <w:lang w:val="en-US"/>
              </w:rPr>
            </w:pPr>
            <w:r w:rsidRPr="00C83FF4">
              <w:rPr>
                <w:lang w:val="en-US"/>
              </w:rPr>
              <w:t xml:space="preserve">Students demonstrate application of knowledge and understanding </w:t>
            </w:r>
            <w:r>
              <w:rPr>
                <w:lang w:val="en-US"/>
              </w:rPr>
              <w:t>by answering questions and by testing samples</w:t>
            </w:r>
            <w:r w:rsidRPr="00C83FF4">
              <w:rPr>
                <w:lang w:val="en-US"/>
              </w:rPr>
              <w:t xml:space="preserve"> </w:t>
            </w:r>
            <w:r>
              <w:rPr>
                <w:lang w:val="en-US"/>
              </w:rPr>
              <w:t>to</w:t>
            </w:r>
            <w:r w:rsidRPr="00C83FF4">
              <w:rPr>
                <w:lang w:val="en-US"/>
              </w:rPr>
              <w:t xml:space="preserve"> identify </w:t>
            </w:r>
            <w:r>
              <w:rPr>
                <w:lang w:val="en-US"/>
              </w:rPr>
              <w:t xml:space="preserve">various rocks and </w:t>
            </w:r>
            <w:r w:rsidRPr="00C83FF4">
              <w:rPr>
                <w:lang w:val="en-US"/>
              </w:rPr>
              <w:t xml:space="preserve">minerals. Students </w:t>
            </w:r>
            <w:r>
              <w:rPr>
                <w:lang w:val="en-US"/>
              </w:rPr>
              <w:t xml:space="preserve">record their observations and relate these to their knowledge of </w:t>
            </w:r>
            <w:r w:rsidRPr="00C83FF4">
              <w:rPr>
                <w:lang w:val="en-US"/>
              </w:rPr>
              <w:t>ph</w:t>
            </w:r>
            <w:r>
              <w:rPr>
                <w:lang w:val="en-US"/>
              </w:rPr>
              <w:t xml:space="preserve">ysical characteristics of rocks and </w:t>
            </w:r>
            <w:r w:rsidRPr="00C83FF4">
              <w:rPr>
                <w:lang w:val="en-US"/>
              </w:rPr>
              <w:t>minerals</w:t>
            </w:r>
            <w:r>
              <w:rPr>
                <w:lang w:val="en-US"/>
              </w:rPr>
              <w:t xml:space="preserve"> to identify familiar and new specimens.</w:t>
            </w:r>
          </w:p>
        </w:tc>
        <w:tc>
          <w:tcPr>
            <w:tcW w:w="921" w:type="dxa"/>
            <w:tcBorders>
              <w:top w:val="single" w:sz="12" w:space="0" w:color="auto"/>
            </w:tcBorders>
            <w:shd w:val="clear" w:color="auto" w:fill="auto"/>
            <w:vAlign w:val="center"/>
          </w:tcPr>
          <w:p w:rsidR="00C83FF4" w:rsidRPr="00C83FF4" w:rsidRDefault="0055637E" w:rsidP="006A6E33">
            <w:pPr>
              <w:pStyle w:val="ACLAPTableText"/>
              <w:rPr>
                <w:lang w:val="en-US"/>
              </w:rPr>
            </w:pPr>
            <w:r w:rsidRPr="00C83FF4">
              <w:rPr>
                <w:lang w:val="en-US"/>
              </w:rPr>
              <w:t>2, 3</w:t>
            </w:r>
          </w:p>
        </w:tc>
        <w:tc>
          <w:tcPr>
            <w:tcW w:w="922" w:type="dxa"/>
            <w:tcBorders>
              <w:top w:val="single" w:sz="12" w:space="0" w:color="auto"/>
            </w:tcBorders>
            <w:shd w:val="clear" w:color="auto" w:fill="auto"/>
            <w:vAlign w:val="center"/>
          </w:tcPr>
          <w:p w:rsidR="00C83FF4" w:rsidRPr="00C83FF4" w:rsidRDefault="00C83FF4" w:rsidP="0055637E">
            <w:pPr>
              <w:pStyle w:val="ACLAPTableText"/>
              <w:rPr>
                <w:lang w:val="en-US"/>
              </w:rPr>
            </w:pPr>
            <w:r w:rsidRPr="00C83FF4">
              <w:rPr>
                <w:lang w:val="en-US"/>
              </w:rPr>
              <w:t>2</w:t>
            </w:r>
          </w:p>
        </w:tc>
        <w:tc>
          <w:tcPr>
            <w:tcW w:w="3543" w:type="dxa"/>
            <w:tcBorders>
              <w:top w:val="single" w:sz="12" w:space="0" w:color="auto"/>
            </w:tcBorders>
            <w:shd w:val="clear" w:color="auto" w:fill="auto"/>
          </w:tcPr>
          <w:p w:rsidR="00C83FF4" w:rsidRPr="00C83FF4" w:rsidRDefault="0055637E" w:rsidP="006A6E33">
            <w:pPr>
              <w:pStyle w:val="ACLAPTableText"/>
            </w:pPr>
            <w:r w:rsidRPr="00C83FF4">
              <w:t>Written</w:t>
            </w:r>
            <w:r>
              <w:t xml:space="preserve"> and practical</w:t>
            </w:r>
            <w:r w:rsidRPr="00C83FF4">
              <w:t>: supervised, 80 minutes</w:t>
            </w:r>
          </w:p>
        </w:tc>
      </w:tr>
      <w:tr w:rsidR="00C83FF4" w:rsidRPr="004963F3" w:rsidTr="0056030F">
        <w:trPr>
          <w:trHeight w:val="1118"/>
        </w:trPr>
        <w:tc>
          <w:tcPr>
            <w:tcW w:w="1474" w:type="dxa"/>
            <w:vMerge/>
            <w:shd w:val="clear" w:color="auto" w:fill="auto"/>
            <w:vAlign w:val="center"/>
          </w:tcPr>
          <w:p w:rsidR="00C83FF4" w:rsidRPr="00C83FF4" w:rsidRDefault="00C83FF4" w:rsidP="006A6E33">
            <w:pPr>
              <w:pStyle w:val="LAPTableText"/>
              <w:jc w:val="center"/>
              <w:rPr>
                <w:b/>
                <w:sz w:val="20"/>
                <w:szCs w:val="20"/>
                <w:lang w:val="en-US"/>
              </w:rPr>
            </w:pPr>
          </w:p>
        </w:tc>
        <w:tc>
          <w:tcPr>
            <w:tcW w:w="8874" w:type="dxa"/>
            <w:shd w:val="clear" w:color="auto" w:fill="auto"/>
          </w:tcPr>
          <w:p w:rsidR="00200729" w:rsidRPr="0056030F" w:rsidRDefault="0055637E" w:rsidP="009F5112">
            <w:pPr>
              <w:pStyle w:val="ACLAPTableText"/>
              <w:spacing w:before="120"/>
            </w:pPr>
            <w:r w:rsidRPr="00C83FF4">
              <w:rPr>
                <w:lang w:val="en-US"/>
              </w:rPr>
              <w:t>Students demonstrate knowledge and understanding of</w:t>
            </w:r>
            <w:r w:rsidR="00D455BB">
              <w:rPr>
                <w:lang w:val="en-US"/>
              </w:rPr>
              <w:t xml:space="preserve"> the interaction </w:t>
            </w:r>
            <w:r w:rsidR="009F5112" w:rsidRPr="009F5112">
              <w:rPr>
                <w:lang w:val="en"/>
              </w:rPr>
              <w:t>between humans and natural ecosystems services.</w:t>
            </w:r>
            <w:r w:rsidR="009F5112">
              <w:rPr>
                <w:lang w:val="en"/>
              </w:rPr>
              <w:t xml:space="preserve"> They present their research findings about </w:t>
            </w:r>
            <w:r w:rsidR="009F5112" w:rsidRPr="009F5112">
              <w:t>how increased scientific understanding of ecosystem services influences decisions made in agricultural production.</w:t>
            </w:r>
          </w:p>
        </w:tc>
        <w:tc>
          <w:tcPr>
            <w:tcW w:w="921" w:type="dxa"/>
            <w:shd w:val="clear" w:color="auto" w:fill="auto"/>
            <w:vAlign w:val="center"/>
          </w:tcPr>
          <w:p w:rsidR="00C83FF4" w:rsidRPr="00C83FF4" w:rsidRDefault="009F5112" w:rsidP="006A6E33">
            <w:pPr>
              <w:pStyle w:val="ACLAPTableText"/>
              <w:rPr>
                <w:lang w:val="en-US"/>
              </w:rPr>
            </w:pPr>
            <w:r>
              <w:rPr>
                <w:lang w:val="en-US"/>
              </w:rPr>
              <w:t>3</w:t>
            </w:r>
          </w:p>
        </w:tc>
        <w:tc>
          <w:tcPr>
            <w:tcW w:w="922" w:type="dxa"/>
            <w:shd w:val="clear" w:color="auto" w:fill="auto"/>
            <w:vAlign w:val="center"/>
          </w:tcPr>
          <w:p w:rsidR="00C83FF4" w:rsidRPr="00C83FF4" w:rsidRDefault="009F5112" w:rsidP="006A6E33">
            <w:pPr>
              <w:pStyle w:val="ACLAPTableText"/>
              <w:rPr>
                <w:lang w:val="en-US"/>
              </w:rPr>
            </w:pPr>
            <w:r>
              <w:rPr>
                <w:lang w:val="en-US"/>
              </w:rPr>
              <w:t>1, 3</w:t>
            </w:r>
            <w:r w:rsidR="0055637E" w:rsidRPr="00C83FF4">
              <w:rPr>
                <w:lang w:val="en-US"/>
              </w:rPr>
              <w:t>, 4</w:t>
            </w:r>
          </w:p>
        </w:tc>
        <w:tc>
          <w:tcPr>
            <w:tcW w:w="3543" w:type="dxa"/>
            <w:shd w:val="clear" w:color="auto" w:fill="auto"/>
          </w:tcPr>
          <w:p w:rsidR="009F5112" w:rsidRPr="00C83FF4" w:rsidRDefault="004B343F" w:rsidP="0080225F">
            <w:pPr>
              <w:pStyle w:val="ACLAPTableText"/>
            </w:pPr>
            <w:r w:rsidRPr="00C83FF4">
              <w:t>Students work individually</w:t>
            </w:r>
            <w:r>
              <w:t xml:space="preserve"> to prepare a presentation in an appropriate format. </w:t>
            </w:r>
            <w:r w:rsidRPr="00C83FF4">
              <w:t>The task is completed in 2 weeks.</w:t>
            </w:r>
          </w:p>
        </w:tc>
      </w:tr>
    </w:tbl>
    <w:p w:rsidR="00D732EE" w:rsidRDefault="00D732EE" w:rsidP="00E021FF">
      <w:pPr>
        <w:rPr>
          <w:rFonts w:cs="Arial"/>
        </w:rPr>
      </w:pPr>
    </w:p>
    <w:p w:rsidR="00C83FF4" w:rsidRPr="00C83FF4" w:rsidRDefault="00C83FF4" w:rsidP="00E021FF">
      <w:pPr>
        <w:rPr>
          <w:rFonts w:cs="Arial"/>
          <w:lang w:val="en-US"/>
        </w:rPr>
      </w:pPr>
      <w:proofErr w:type="gramStart"/>
      <w:r>
        <w:rPr>
          <w:rFonts w:cs="Arial"/>
          <w:b/>
          <w:bCs/>
          <w:i/>
          <w:iCs/>
          <w:sz w:val="20"/>
          <w:szCs w:val="20"/>
          <w:lang w:val="en-US"/>
        </w:rPr>
        <w:t>Four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draft Stage 1 Earth and Environmental Science subject o</w:t>
      </w:r>
      <w:r w:rsidRPr="004963F3">
        <w:rPr>
          <w:rFonts w:cs="Arial"/>
          <w:i/>
          <w:iCs/>
          <w:sz w:val="20"/>
          <w:szCs w:val="20"/>
          <w:lang w:val="en-US"/>
        </w:rPr>
        <w:t>utline.</w:t>
      </w:r>
    </w:p>
    <w:sectPr w:rsidR="00C83FF4" w:rsidRPr="00C83FF4" w:rsidSect="00EB186C">
      <w:headerReference w:type="first" r:id="rId12"/>
      <w:footerReference w:type="first" r:id="rId13"/>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D2" w:rsidRDefault="001F1ED2">
      <w:r>
        <w:separator/>
      </w:r>
    </w:p>
  </w:endnote>
  <w:endnote w:type="continuationSeparator" w:id="0">
    <w:p w:rsidR="001F1ED2" w:rsidRDefault="001F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0F" w:rsidRDefault="0056030F" w:rsidP="0056030F">
    <w:pPr>
      <w:pStyle w:val="LAPFooter"/>
      <w:tabs>
        <w:tab w:val="clear" w:pos="9639"/>
        <w:tab w:val="clear" w:pos="14742"/>
        <w:tab w:val="right" w:pos="15451"/>
      </w:tabs>
    </w:pPr>
    <w:r w:rsidRPr="00D128A8">
      <w:fldChar w:fldCharType="begin"/>
    </w:r>
    <w:r w:rsidRPr="00D128A8">
      <w:instrText xml:space="preserve"> PAGE </w:instrText>
    </w:r>
    <w:r w:rsidRPr="00D128A8">
      <w:fldChar w:fldCharType="separate"/>
    </w:r>
    <w:r>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3</w:t>
    </w:r>
    <w:r w:rsidRPr="00D128A8">
      <w:fldChar w:fldCharType="end"/>
    </w:r>
    <w:r>
      <w:rPr>
        <w:sz w:val="18"/>
      </w:rPr>
      <w:tab/>
    </w:r>
    <w:r>
      <w:t>Stage 1 Earth and Environmental Science learning and assessment plan 1 (for use from 2018)</w:t>
    </w:r>
  </w:p>
  <w:p w:rsidR="0056030F" w:rsidRPr="00AD3BD3" w:rsidRDefault="0056030F" w:rsidP="0056030F">
    <w:pPr>
      <w:pStyle w:val="LAPFooter"/>
      <w:tabs>
        <w:tab w:val="clear" w:pos="9639"/>
        <w:tab w:val="clear" w:pos="14742"/>
        <w:tab w:val="right" w:pos="15451"/>
      </w:tabs>
    </w:pPr>
    <w:r w:rsidRPr="00AD3BD3">
      <w:tab/>
      <w:t xml:space="preserve">Ref: </w:t>
    </w:r>
    <w:r>
      <w:fldChar w:fldCharType="begin"/>
    </w:r>
    <w:r>
      <w:instrText xml:space="preserve"> DOCPROPERTY  Objective-Id  \* MERGEFORMAT </w:instrText>
    </w:r>
    <w:r>
      <w:fldChar w:fldCharType="separate"/>
    </w:r>
    <w:r>
      <w:t>A499956</w:t>
    </w:r>
    <w:r>
      <w:fldChar w:fldCharType="end"/>
    </w:r>
    <w:r>
      <w:t xml:space="preserve"> </w:t>
    </w:r>
    <w:r w:rsidRPr="00AD3BD3">
      <w:t>(</w:t>
    </w:r>
    <w:r>
      <w:t>created January2016)</w:t>
    </w:r>
  </w:p>
  <w:p w:rsidR="0056030F" w:rsidRDefault="0056030F" w:rsidP="0056030F">
    <w:pPr>
      <w:pStyle w:val="LAPFooter"/>
      <w:tabs>
        <w:tab w:val="clear" w:pos="9639"/>
        <w:tab w:val="clear" w:pos="14742"/>
        <w:tab w:val="right" w:pos="15451"/>
      </w:tabs>
    </w:pPr>
    <w:r w:rsidRPr="00AD3BD3">
      <w:tab/>
      <w:t>© SACE Board of South</w:t>
    </w:r>
    <w:r>
      <w:t xml:space="preserve">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B7" w:rsidRDefault="002A53B7" w:rsidP="00C83FF4">
    <w:pPr>
      <w:pStyle w:val="LAPFooter"/>
      <w:tabs>
        <w:tab w:val="clear" w:pos="9639"/>
        <w:tab w:val="right" w:pos="10206"/>
      </w:tabs>
    </w:pPr>
    <w:r w:rsidRPr="00D128A8">
      <w:fldChar w:fldCharType="begin"/>
    </w:r>
    <w:r w:rsidRPr="00D128A8">
      <w:instrText xml:space="preserve"> PAGE </w:instrText>
    </w:r>
    <w:r w:rsidRPr="00D128A8">
      <w:fldChar w:fldCharType="separate"/>
    </w:r>
    <w:r w:rsidR="0056030F">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6030F">
      <w:rPr>
        <w:noProof/>
      </w:rPr>
      <w:t>3</w:t>
    </w:r>
    <w:r w:rsidRPr="00D128A8">
      <w:fldChar w:fldCharType="end"/>
    </w:r>
    <w:r>
      <w:rPr>
        <w:sz w:val="18"/>
      </w:rPr>
      <w:tab/>
    </w:r>
    <w:r>
      <w:t xml:space="preserve">Stage 1 </w:t>
    </w:r>
    <w:r w:rsidR="00C9787C">
      <w:t>Earth and Environmental Science</w:t>
    </w:r>
    <w:r>
      <w:t xml:space="preserve"> learning and assessm</w:t>
    </w:r>
    <w:r w:rsidR="00E021FF">
      <w:t xml:space="preserve">ent plan </w:t>
    </w:r>
    <w:r w:rsidR="00C83FF4">
      <w:t>1</w:t>
    </w:r>
    <w:r w:rsidR="00E021FF">
      <w:t xml:space="preserve"> (for use from 2017</w:t>
    </w:r>
    <w:r>
      <w:t>)</w:t>
    </w:r>
  </w:p>
  <w:p w:rsidR="002A53B7" w:rsidRPr="00AD3BD3" w:rsidRDefault="002A53B7" w:rsidP="00C83FF4">
    <w:pPr>
      <w:pStyle w:val="LAPFooter"/>
      <w:tabs>
        <w:tab w:val="clear" w:pos="9639"/>
        <w:tab w:val="right" w:pos="10206"/>
      </w:tabs>
    </w:pPr>
    <w:r w:rsidRPr="00AD3BD3">
      <w:tab/>
      <w:t xml:space="preserve">Ref: </w:t>
    </w:r>
    <w:r w:rsidR="001F1ED2">
      <w:fldChar w:fldCharType="begin"/>
    </w:r>
    <w:r w:rsidR="001F1ED2">
      <w:instrText xml:space="preserve"> DOCPROPERTY  Objective-Id  \* MERGEFORMAT </w:instrText>
    </w:r>
    <w:r w:rsidR="001F1ED2">
      <w:fldChar w:fldCharType="separate"/>
    </w:r>
    <w:r w:rsidR="0056030F">
      <w:t>A499956</w:t>
    </w:r>
    <w:r w:rsidR="001F1ED2">
      <w:fldChar w:fldCharType="end"/>
    </w:r>
    <w:r w:rsidR="0056030F">
      <w:t xml:space="preserve"> </w:t>
    </w:r>
    <w:r w:rsidRPr="00AD3BD3">
      <w:t>(</w:t>
    </w:r>
    <w:r>
      <w:t xml:space="preserve">created </w:t>
    </w:r>
    <w:r w:rsidR="00C83FF4">
      <w:t>February</w:t>
    </w:r>
    <w:r w:rsidR="000F3221">
      <w:t xml:space="preserve"> 2016</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C83FF4">
    <w:pPr>
      <w:pStyle w:val="LAPFooter"/>
      <w:tabs>
        <w:tab w:val="clear" w:pos="9639"/>
        <w:tab w:val="clear" w:pos="14742"/>
        <w:tab w:val="right" w:pos="15451"/>
      </w:tabs>
    </w:pPr>
    <w:r w:rsidRPr="00D128A8">
      <w:fldChar w:fldCharType="begin"/>
    </w:r>
    <w:r w:rsidRPr="00D128A8">
      <w:instrText xml:space="preserve"> PAGE </w:instrText>
    </w:r>
    <w:r w:rsidRPr="00D128A8">
      <w:fldChar w:fldCharType="separate"/>
    </w:r>
    <w:r w:rsidR="0056030F">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6030F">
      <w:rPr>
        <w:noProof/>
      </w:rPr>
      <w:t>3</w:t>
    </w:r>
    <w:r w:rsidRPr="00D128A8">
      <w:fldChar w:fldCharType="end"/>
    </w:r>
    <w:r>
      <w:rPr>
        <w:sz w:val="18"/>
      </w:rPr>
      <w:tab/>
    </w:r>
    <w:r>
      <w:t xml:space="preserve">Stage 1 </w:t>
    </w:r>
    <w:r w:rsidR="00C9787C">
      <w:t>Earth and Environmental Science</w:t>
    </w:r>
    <w:r>
      <w:t xml:space="preserve"> learning and as</w:t>
    </w:r>
    <w:r w:rsidR="00EB4B24">
      <w:t xml:space="preserve">sessment </w:t>
    </w:r>
    <w:r w:rsidR="00C83FF4">
      <w:t>plan 1</w:t>
    </w:r>
    <w:r w:rsidR="00EB4B24">
      <w:t xml:space="preserve"> (for use from 2018</w:t>
    </w:r>
    <w:r>
      <w:t>)</w:t>
    </w:r>
  </w:p>
  <w:p w:rsidR="00BA2185" w:rsidRPr="00AD3BD3" w:rsidRDefault="00BA2185" w:rsidP="00D732EE">
    <w:pPr>
      <w:pStyle w:val="LAPFooter"/>
      <w:tabs>
        <w:tab w:val="clear" w:pos="9639"/>
        <w:tab w:val="clear" w:pos="14742"/>
        <w:tab w:val="right" w:pos="15451"/>
      </w:tabs>
    </w:pPr>
    <w:r w:rsidRPr="00AD3BD3">
      <w:tab/>
      <w:t xml:space="preserve">Ref: </w:t>
    </w:r>
    <w:r w:rsidR="001F1ED2">
      <w:fldChar w:fldCharType="begin"/>
    </w:r>
    <w:r w:rsidR="001F1ED2">
      <w:instrText xml:space="preserve"> DOCPROPERTY  Objective-Id  \* MERGEFORMAT </w:instrText>
    </w:r>
    <w:r w:rsidR="001F1ED2">
      <w:fldChar w:fldCharType="separate"/>
    </w:r>
    <w:r w:rsidR="0056030F">
      <w:t>A499956</w:t>
    </w:r>
    <w:r w:rsidR="001F1ED2">
      <w:fldChar w:fldCharType="end"/>
    </w:r>
    <w:r w:rsidR="0056030F">
      <w:t xml:space="preserve"> </w:t>
    </w:r>
    <w:r w:rsidRPr="00AD3BD3">
      <w:t>(</w:t>
    </w:r>
    <w:r w:rsidR="00E021FF">
      <w:t xml:space="preserve">created </w:t>
    </w:r>
    <w:r w:rsidR="00EB4B24">
      <w:t>January</w:t>
    </w:r>
    <w:r w:rsidR="00E021FF">
      <w:t>2016</w:t>
    </w:r>
    <w:r>
      <w:t>)</w:t>
    </w:r>
  </w:p>
  <w:p w:rsidR="00BA2185" w:rsidRPr="002166A4" w:rsidRDefault="00BA2185" w:rsidP="00E021FF">
    <w:pPr>
      <w:pStyle w:val="LAPFooter"/>
      <w:tabs>
        <w:tab w:val="clear" w:pos="9639"/>
        <w:tab w:val="clear" w:pos="14742"/>
        <w:tab w:val="right" w:pos="15451"/>
      </w:tabs>
    </w:pPr>
    <w:r w:rsidRPr="00AD3BD3">
      <w:tab/>
      <w:t>© SACE Board of South</w:t>
    </w:r>
    <w:r w:rsidR="00EB4B24">
      <w:t xml:space="preserve">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D2" w:rsidRDefault="001F1ED2">
      <w:r>
        <w:separator/>
      </w:r>
    </w:p>
  </w:footnote>
  <w:footnote w:type="continuationSeparator" w:id="0">
    <w:p w:rsidR="001F1ED2" w:rsidRDefault="001F1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E979B7" w:rsidP="0055637E">
    <w:pPr>
      <w:pStyle w:val="Header"/>
      <w:tabs>
        <w:tab w:val="clear" w:pos="4153"/>
        <w:tab w:val="clear" w:pos="8306"/>
        <w:tab w:val="right" w:pos="9356"/>
      </w:tabs>
    </w:pPr>
    <w:r>
      <w:rPr>
        <w:caps/>
        <w:noProof/>
        <w:sz w:val="32"/>
        <w:szCs w:val="32"/>
      </w:rPr>
      <w:drawing>
        <wp:inline distT="0" distB="0" distL="0" distR="0" wp14:anchorId="30DFBFDB" wp14:editId="12CFF53A">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r w:rsidR="0055637E">
      <w:tab/>
      <w:t>Articulates with Program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B41C90"/>
    <w:multiLevelType w:val="hybridMultilevel"/>
    <w:tmpl w:val="B6848F78"/>
    <w:lvl w:ilvl="0" w:tplc="4D20135A">
      <w:start w:val="1"/>
      <w:numFmt w:val="bullet"/>
      <w:pStyle w:val="SOFinalBullet"/>
      <w:lvlText w:val=""/>
      <w:lvlJc w:val="left"/>
      <w:pPr>
        <w:ind w:left="360" w:hanging="360"/>
      </w:pPr>
      <w:rPr>
        <w:rFonts w:ascii="Symbol" w:hAnsi="Symbol" w:hint="default"/>
        <w:color w:val="000000"/>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3D0CD0"/>
    <w:multiLevelType w:val="hybridMultilevel"/>
    <w:tmpl w:val="7EAC13FC"/>
    <w:lvl w:ilvl="0" w:tplc="20D4E576">
      <w:start w:val="1"/>
      <w:numFmt w:val="bullet"/>
      <w:pStyle w:val="SO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6">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1"/>
  </w:num>
  <w:num w:numId="8">
    <w:abstractNumId w:val="0"/>
  </w:num>
  <w:num w:numId="9">
    <w:abstractNumId w:val="11"/>
  </w:num>
  <w:num w:numId="10">
    <w:abstractNumId w:val="3"/>
  </w:num>
  <w:num w:numId="11">
    <w:abstractNumId w:val="7"/>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1182"/>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E3994"/>
    <w:rsid w:val="000E3D80"/>
    <w:rsid w:val="000E6698"/>
    <w:rsid w:val="000E7C92"/>
    <w:rsid w:val="000F3221"/>
    <w:rsid w:val="001010FD"/>
    <w:rsid w:val="00107042"/>
    <w:rsid w:val="00107ED4"/>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3A0B"/>
    <w:rsid w:val="001A4E06"/>
    <w:rsid w:val="001C556F"/>
    <w:rsid w:val="001D7C86"/>
    <w:rsid w:val="001E0A92"/>
    <w:rsid w:val="001F1ED2"/>
    <w:rsid w:val="001F5EE5"/>
    <w:rsid w:val="00200729"/>
    <w:rsid w:val="00201E45"/>
    <w:rsid w:val="00203FF5"/>
    <w:rsid w:val="002058C7"/>
    <w:rsid w:val="00206A68"/>
    <w:rsid w:val="00210A19"/>
    <w:rsid w:val="00211EB5"/>
    <w:rsid w:val="002131AF"/>
    <w:rsid w:val="00215282"/>
    <w:rsid w:val="00225373"/>
    <w:rsid w:val="0022643C"/>
    <w:rsid w:val="0023084C"/>
    <w:rsid w:val="00231A99"/>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0649E"/>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C1462"/>
    <w:rsid w:val="003D1161"/>
    <w:rsid w:val="003D6935"/>
    <w:rsid w:val="003E0138"/>
    <w:rsid w:val="003E2D9F"/>
    <w:rsid w:val="003F11C4"/>
    <w:rsid w:val="00410AB0"/>
    <w:rsid w:val="00412EBB"/>
    <w:rsid w:val="004132D9"/>
    <w:rsid w:val="004220DF"/>
    <w:rsid w:val="00425CAF"/>
    <w:rsid w:val="00436D6F"/>
    <w:rsid w:val="00447927"/>
    <w:rsid w:val="004729D1"/>
    <w:rsid w:val="004742DB"/>
    <w:rsid w:val="004A265C"/>
    <w:rsid w:val="004A4FF7"/>
    <w:rsid w:val="004B343F"/>
    <w:rsid w:val="004C0B24"/>
    <w:rsid w:val="004C3EBC"/>
    <w:rsid w:val="004C6ABF"/>
    <w:rsid w:val="004D254A"/>
    <w:rsid w:val="004D4BEC"/>
    <w:rsid w:val="004E18D1"/>
    <w:rsid w:val="004F44CC"/>
    <w:rsid w:val="00503362"/>
    <w:rsid w:val="005068CA"/>
    <w:rsid w:val="00511F01"/>
    <w:rsid w:val="00515199"/>
    <w:rsid w:val="00523C7B"/>
    <w:rsid w:val="00527BB2"/>
    <w:rsid w:val="0053538F"/>
    <w:rsid w:val="00537644"/>
    <w:rsid w:val="0054186B"/>
    <w:rsid w:val="00541D3B"/>
    <w:rsid w:val="00542358"/>
    <w:rsid w:val="00543516"/>
    <w:rsid w:val="0055321C"/>
    <w:rsid w:val="00554A10"/>
    <w:rsid w:val="0055637E"/>
    <w:rsid w:val="0056030F"/>
    <w:rsid w:val="005653A0"/>
    <w:rsid w:val="005722B0"/>
    <w:rsid w:val="005859E4"/>
    <w:rsid w:val="005874B0"/>
    <w:rsid w:val="005957C9"/>
    <w:rsid w:val="005963A4"/>
    <w:rsid w:val="005A4299"/>
    <w:rsid w:val="005A5689"/>
    <w:rsid w:val="005A678C"/>
    <w:rsid w:val="005B27B2"/>
    <w:rsid w:val="005B7726"/>
    <w:rsid w:val="005C4FD1"/>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0684"/>
    <w:rsid w:val="00652856"/>
    <w:rsid w:val="00663E4C"/>
    <w:rsid w:val="006718C1"/>
    <w:rsid w:val="0067208D"/>
    <w:rsid w:val="00675BBE"/>
    <w:rsid w:val="0068611E"/>
    <w:rsid w:val="00691860"/>
    <w:rsid w:val="006A1C13"/>
    <w:rsid w:val="006A264E"/>
    <w:rsid w:val="006A2B3D"/>
    <w:rsid w:val="006B268E"/>
    <w:rsid w:val="006B77E6"/>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86CC2"/>
    <w:rsid w:val="007A131B"/>
    <w:rsid w:val="007A464F"/>
    <w:rsid w:val="007B3BEB"/>
    <w:rsid w:val="007B75A6"/>
    <w:rsid w:val="007C07CE"/>
    <w:rsid w:val="007C245C"/>
    <w:rsid w:val="007C7E0B"/>
    <w:rsid w:val="007D72A8"/>
    <w:rsid w:val="007E670F"/>
    <w:rsid w:val="007F2005"/>
    <w:rsid w:val="007F25DC"/>
    <w:rsid w:val="007F6A1F"/>
    <w:rsid w:val="007F76BE"/>
    <w:rsid w:val="008010E6"/>
    <w:rsid w:val="0080194B"/>
    <w:rsid w:val="00801B35"/>
    <w:rsid w:val="0080225F"/>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C4624"/>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B1FDE"/>
    <w:rsid w:val="009B7A44"/>
    <w:rsid w:val="009C3572"/>
    <w:rsid w:val="009D4FD0"/>
    <w:rsid w:val="009E0E30"/>
    <w:rsid w:val="009E3D5F"/>
    <w:rsid w:val="009E5774"/>
    <w:rsid w:val="009F318C"/>
    <w:rsid w:val="009F5112"/>
    <w:rsid w:val="00A02825"/>
    <w:rsid w:val="00A06EBF"/>
    <w:rsid w:val="00A0774F"/>
    <w:rsid w:val="00A143A4"/>
    <w:rsid w:val="00A17B01"/>
    <w:rsid w:val="00A27B37"/>
    <w:rsid w:val="00A372B3"/>
    <w:rsid w:val="00A4171C"/>
    <w:rsid w:val="00A41CA1"/>
    <w:rsid w:val="00A44351"/>
    <w:rsid w:val="00A452B1"/>
    <w:rsid w:val="00A460D7"/>
    <w:rsid w:val="00A57D2D"/>
    <w:rsid w:val="00A73078"/>
    <w:rsid w:val="00A840FD"/>
    <w:rsid w:val="00A86047"/>
    <w:rsid w:val="00A87E4B"/>
    <w:rsid w:val="00AA3F1B"/>
    <w:rsid w:val="00AB2D7F"/>
    <w:rsid w:val="00AB2F1C"/>
    <w:rsid w:val="00AB3189"/>
    <w:rsid w:val="00AC0F73"/>
    <w:rsid w:val="00AC2A58"/>
    <w:rsid w:val="00AC4BB4"/>
    <w:rsid w:val="00AD2AA3"/>
    <w:rsid w:val="00AD4912"/>
    <w:rsid w:val="00AD5BB1"/>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36762"/>
    <w:rsid w:val="00B427F3"/>
    <w:rsid w:val="00B4619C"/>
    <w:rsid w:val="00B61BF6"/>
    <w:rsid w:val="00B76688"/>
    <w:rsid w:val="00B7702B"/>
    <w:rsid w:val="00B96FFF"/>
    <w:rsid w:val="00BA0ACB"/>
    <w:rsid w:val="00BA2185"/>
    <w:rsid w:val="00BA2569"/>
    <w:rsid w:val="00BA474F"/>
    <w:rsid w:val="00BA7750"/>
    <w:rsid w:val="00BB209B"/>
    <w:rsid w:val="00BB3457"/>
    <w:rsid w:val="00BD0435"/>
    <w:rsid w:val="00BD1A81"/>
    <w:rsid w:val="00BD57FE"/>
    <w:rsid w:val="00BE3120"/>
    <w:rsid w:val="00BF3DE6"/>
    <w:rsid w:val="00BF7D27"/>
    <w:rsid w:val="00C026BC"/>
    <w:rsid w:val="00C02B99"/>
    <w:rsid w:val="00C02F07"/>
    <w:rsid w:val="00C03A48"/>
    <w:rsid w:val="00C0447D"/>
    <w:rsid w:val="00C077EB"/>
    <w:rsid w:val="00C125BD"/>
    <w:rsid w:val="00C17939"/>
    <w:rsid w:val="00C26D84"/>
    <w:rsid w:val="00C34B96"/>
    <w:rsid w:val="00C3579E"/>
    <w:rsid w:val="00C41436"/>
    <w:rsid w:val="00C463C6"/>
    <w:rsid w:val="00C67081"/>
    <w:rsid w:val="00C83FF4"/>
    <w:rsid w:val="00C85B9F"/>
    <w:rsid w:val="00C93EA3"/>
    <w:rsid w:val="00C94E68"/>
    <w:rsid w:val="00C9787C"/>
    <w:rsid w:val="00C97C4C"/>
    <w:rsid w:val="00CA234C"/>
    <w:rsid w:val="00CB0F63"/>
    <w:rsid w:val="00CC1F8A"/>
    <w:rsid w:val="00CC2DB2"/>
    <w:rsid w:val="00CC346D"/>
    <w:rsid w:val="00CD06DE"/>
    <w:rsid w:val="00CD26C9"/>
    <w:rsid w:val="00CE5842"/>
    <w:rsid w:val="00D00A28"/>
    <w:rsid w:val="00D01CD3"/>
    <w:rsid w:val="00D04009"/>
    <w:rsid w:val="00D064A9"/>
    <w:rsid w:val="00D201E9"/>
    <w:rsid w:val="00D23A7C"/>
    <w:rsid w:val="00D2640E"/>
    <w:rsid w:val="00D30040"/>
    <w:rsid w:val="00D355D8"/>
    <w:rsid w:val="00D364BB"/>
    <w:rsid w:val="00D41B88"/>
    <w:rsid w:val="00D455BB"/>
    <w:rsid w:val="00D47F6E"/>
    <w:rsid w:val="00D53DB2"/>
    <w:rsid w:val="00D55A43"/>
    <w:rsid w:val="00D61756"/>
    <w:rsid w:val="00D6524B"/>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4694F"/>
    <w:rsid w:val="00E50015"/>
    <w:rsid w:val="00E64E91"/>
    <w:rsid w:val="00E67295"/>
    <w:rsid w:val="00E7565A"/>
    <w:rsid w:val="00E768B6"/>
    <w:rsid w:val="00E80F81"/>
    <w:rsid w:val="00E86251"/>
    <w:rsid w:val="00E92BAE"/>
    <w:rsid w:val="00E95024"/>
    <w:rsid w:val="00E96152"/>
    <w:rsid w:val="00E979B7"/>
    <w:rsid w:val="00EB186C"/>
    <w:rsid w:val="00EB3BFF"/>
    <w:rsid w:val="00EB4B24"/>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A7E17"/>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SOFinalBullet">
    <w:name w:val="SO Final Bullet"/>
    <w:qFormat/>
    <w:rsid w:val="00A17B01"/>
    <w:pPr>
      <w:numPr>
        <w:numId w:val="13"/>
      </w:numPr>
      <w:autoSpaceDE w:val="0"/>
      <w:autoSpaceDN w:val="0"/>
      <w:adjustRightInd w:val="0"/>
    </w:pPr>
    <w:rPr>
      <w:rFonts w:ascii="Arial" w:eastAsia="MS Mincho" w:hAnsi="Arial" w:cs="Arial"/>
      <w:sz w:val="22"/>
      <w:szCs w:val="22"/>
      <w:lang w:eastAsia="en-US"/>
    </w:rPr>
  </w:style>
  <w:style w:type="paragraph" w:customStyle="1" w:styleId="SOBodyText">
    <w:name w:val="SO Body Text"/>
    <w:link w:val="SOBodyTextChar"/>
    <w:rsid w:val="00A17B01"/>
    <w:pPr>
      <w:spacing w:before="120"/>
    </w:pPr>
    <w:rPr>
      <w:rFonts w:ascii="Arial" w:hAnsi="Arial"/>
      <w:color w:val="000000"/>
      <w:sz w:val="22"/>
      <w:szCs w:val="24"/>
      <w:lang w:val="en-US" w:eastAsia="en-US"/>
    </w:rPr>
  </w:style>
  <w:style w:type="character" w:customStyle="1" w:styleId="SOBodyTextChar">
    <w:name w:val="SO Body Text Char"/>
    <w:link w:val="SOBodyText"/>
    <w:rsid w:val="00A17B01"/>
    <w:rPr>
      <w:rFonts w:ascii="Arial" w:hAnsi="Arial"/>
      <w:color w:val="000000"/>
      <w:sz w:val="22"/>
      <w:szCs w:val="24"/>
      <w:lang w:val="en-US" w:eastAsia="en-US"/>
    </w:rPr>
  </w:style>
  <w:style w:type="paragraph" w:customStyle="1" w:styleId="SOBullet">
    <w:name w:val="SO Bullet"/>
    <w:qFormat/>
    <w:rsid w:val="003F11C4"/>
    <w:pPr>
      <w:numPr>
        <w:numId w:val="14"/>
      </w:numPr>
      <w:autoSpaceDE w:val="0"/>
      <w:autoSpaceDN w:val="0"/>
      <w:adjustRightInd w:val="0"/>
      <w:ind w:left="714" w:hanging="357"/>
    </w:pPr>
    <w:rPr>
      <w:rFonts w:ascii="Arial" w:eastAsiaTheme="minorEastAsia"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SOFinalBullet">
    <w:name w:val="SO Final Bullet"/>
    <w:qFormat/>
    <w:rsid w:val="00A17B01"/>
    <w:pPr>
      <w:numPr>
        <w:numId w:val="13"/>
      </w:numPr>
      <w:autoSpaceDE w:val="0"/>
      <w:autoSpaceDN w:val="0"/>
      <w:adjustRightInd w:val="0"/>
    </w:pPr>
    <w:rPr>
      <w:rFonts w:ascii="Arial" w:eastAsia="MS Mincho" w:hAnsi="Arial" w:cs="Arial"/>
      <w:sz w:val="22"/>
      <w:szCs w:val="22"/>
      <w:lang w:eastAsia="en-US"/>
    </w:rPr>
  </w:style>
  <w:style w:type="paragraph" w:customStyle="1" w:styleId="SOBodyText">
    <w:name w:val="SO Body Text"/>
    <w:link w:val="SOBodyTextChar"/>
    <w:rsid w:val="00A17B01"/>
    <w:pPr>
      <w:spacing w:before="120"/>
    </w:pPr>
    <w:rPr>
      <w:rFonts w:ascii="Arial" w:hAnsi="Arial"/>
      <w:color w:val="000000"/>
      <w:sz w:val="22"/>
      <w:szCs w:val="24"/>
      <w:lang w:val="en-US" w:eastAsia="en-US"/>
    </w:rPr>
  </w:style>
  <w:style w:type="character" w:customStyle="1" w:styleId="SOBodyTextChar">
    <w:name w:val="SO Body Text Char"/>
    <w:link w:val="SOBodyText"/>
    <w:rsid w:val="00A17B01"/>
    <w:rPr>
      <w:rFonts w:ascii="Arial" w:hAnsi="Arial"/>
      <w:color w:val="000000"/>
      <w:sz w:val="22"/>
      <w:szCs w:val="24"/>
      <w:lang w:val="en-US" w:eastAsia="en-US"/>
    </w:rPr>
  </w:style>
  <w:style w:type="paragraph" w:customStyle="1" w:styleId="SOBullet">
    <w:name w:val="SO Bullet"/>
    <w:qFormat/>
    <w:rsid w:val="003F11C4"/>
    <w:pPr>
      <w:numPr>
        <w:numId w:val="14"/>
      </w:numPr>
      <w:autoSpaceDE w:val="0"/>
      <w:autoSpaceDN w:val="0"/>
      <w:adjustRightInd w:val="0"/>
      <w:ind w:left="714" w:hanging="357"/>
    </w:pPr>
    <w:rPr>
      <w:rFonts w:ascii="Arial" w:eastAsiaTheme="minorEastAsia"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6483-10C1-4632-BE33-A2C9FB3B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Alina Pietrzyk</cp:lastModifiedBy>
  <cp:revision>18</cp:revision>
  <cp:lastPrinted>2016-07-15T04:13:00Z</cp:lastPrinted>
  <dcterms:created xsi:type="dcterms:W3CDTF">2016-01-28T01:40:00Z</dcterms:created>
  <dcterms:modified xsi:type="dcterms:W3CDTF">2016-11-09T00:53:00Z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A499956</vt:lpwstr>
  </property>
  <property fmtid="{D5CDD505-2E9C-101B-9397-08002B2CF9AE}" pid="3" name="Objective-Title">
    <vt:lpwstr>Stage 1 EES LAP 1</vt:lpwstr>
  </property>
  <property fmtid="{D5CDD505-2E9C-101B-9397-08002B2CF9AE}" pid="4" name="Objective-Comment">
    <vt:lpwstr/>
  </property>
  <property fmtid="{D5CDD505-2E9C-101B-9397-08002B2CF9AE}" pid="5" name="Objective-CreationStamp">
    <vt:filetime>2016-01-28T01:41:24Z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2016-11-09T00:50:24Z</vt:filetime>
  </property>
  <property fmtid="{D5CDD505-2E9C-101B-9397-08002B2CF9AE}" pid="10" name="Objective-Owner">
    <vt:lpwstr>Karen Collins</vt:lpwstr>
  </property>
  <property fmtid="{D5CDD505-2E9C-101B-9397-08002B2CF9AE}" pid="11" name="Objective-Path">
    <vt:lpwstr>Objective Global Folder:SACE Support Materials:SACE Support Materials Stage 1:Sciences:Earth and Environmental Science:Pre-approved LAPs:</vt:lpwstr>
  </property>
  <property fmtid="{D5CDD505-2E9C-101B-9397-08002B2CF9AE}" pid="12" name="Objective-Parent">
    <vt:lpwstr>Pre-approved LAPs</vt:lpwstr>
  </property>
  <property fmtid="{D5CDD505-2E9C-101B-9397-08002B2CF9AE}" pid="13" name="Objective-State">
    <vt:lpwstr>Being Edited</vt:lpwstr>
  </property>
  <property fmtid="{D5CDD505-2E9C-101B-9397-08002B2CF9AE}" pid="14" name="Objective-Version">
    <vt:lpwstr>9.1</vt:lpwstr>
  </property>
  <property fmtid="{D5CDD505-2E9C-101B-9397-08002B2CF9AE}" pid="15" name="Objective-VersionNumber">
    <vt:r8>11</vt:r8>
  </property>
  <property fmtid="{D5CDD505-2E9C-101B-9397-08002B2CF9AE}" pid="16" name="Objective-VersionComment">
    <vt:lpwstr/>
  </property>
  <property fmtid="{D5CDD505-2E9C-101B-9397-08002B2CF9AE}" pid="17" name="Objective-FileNumber">
    <vt:lpwstr>qA14528</vt:lpwstr>
  </property>
  <property fmtid="{D5CDD505-2E9C-101B-9397-08002B2CF9AE}" pid="18" name="Objective-Classification">
    <vt:lpwstr>[Inherited - none]</vt:lpwstr>
  </property>
  <property fmtid="{D5CDD505-2E9C-101B-9397-08002B2CF9AE}" pid="19" name="Objective-Caveats">
    <vt:lpwstr/>
  </property>
</Properties>
</file>