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9B" w:rsidRDefault="00597D9B" w:rsidP="00597D9B">
      <w:pPr>
        <w:pStyle w:val="SMHeading1"/>
      </w:pPr>
      <w:r>
        <w:t>St</w:t>
      </w:r>
      <w:r>
        <w:t>age 2 Aboriginal Studies</w:t>
      </w:r>
    </w:p>
    <w:p w:rsidR="00597D9B" w:rsidRDefault="00597D9B" w:rsidP="00597D9B">
      <w:pPr>
        <w:pStyle w:val="SMHeading1"/>
      </w:pPr>
      <w:r>
        <w:t>Assessment Type 3: Text Production</w:t>
      </w:r>
    </w:p>
    <w:p w:rsidR="00597D9B" w:rsidRDefault="00597D9B" w:rsidP="00597D9B">
      <w:pPr>
        <w:pStyle w:val="SMHeading1"/>
      </w:pPr>
      <w:r>
        <w:t>Student response 2</w:t>
      </w:r>
    </w:p>
    <w:p w:rsidR="00597D9B" w:rsidRDefault="00597D9B" w:rsidP="00E23A13">
      <w:pPr>
        <w:rPr>
          <w:b/>
          <w:spacing w:val="10"/>
          <w:lang w:eastAsia="en-AU"/>
        </w:rPr>
      </w:pPr>
    </w:p>
    <w:p w:rsidR="00E551E1" w:rsidRDefault="006E2B1C" w:rsidP="00E23A13">
      <w:pPr>
        <w:rPr>
          <w:b/>
          <w:spacing w:val="10"/>
          <w:lang w:eastAsia="en-AU"/>
        </w:rPr>
      </w:pPr>
      <w:r w:rsidRPr="002B6F7E">
        <w:rPr>
          <w:b/>
          <w:spacing w:val="10"/>
          <w:lang w:eastAsia="en-AU"/>
        </w:rPr>
        <w:t>Colonisation brought many changes to Aboriginal lifestyles and resulted in loss of culture and</w:t>
      </w:r>
      <w:r>
        <w:rPr>
          <w:b/>
          <w:spacing w:val="10"/>
          <w:lang w:eastAsia="en-AU"/>
        </w:rPr>
        <w:t xml:space="preserve"> </w:t>
      </w:r>
      <w:r w:rsidRPr="002B6F7E">
        <w:rPr>
          <w:b/>
          <w:spacing w:val="10"/>
          <w:lang w:eastAsia="en-AU"/>
        </w:rPr>
        <w:t>identit</w:t>
      </w:r>
      <w:r>
        <w:rPr>
          <w:b/>
          <w:spacing w:val="10"/>
          <w:lang w:eastAsia="en-AU"/>
        </w:rPr>
        <w:t>y.</w:t>
      </w:r>
    </w:p>
    <w:p w:rsidR="006E2B1C" w:rsidRDefault="006E2B1C" w:rsidP="00E23A13">
      <w:pPr>
        <w:rPr>
          <w:b/>
          <w:spacing w:val="10"/>
          <w:lang w:eastAsia="en-AU"/>
        </w:rPr>
      </w:pPr>
      <w:r>
        <w:rPr>
          <w:b/>
          <w:spacing w:val="10"/>
          <w:lang w:eastAsia="en-AU"/>
        </w:rPr>
        <w:t>In what ways is this reflected in Ten Canoes and Yolngu Boy?</w:t>
      </w:r>
    </w:p>
    <w:p w:rsidR="006E2B1C" w:rsidRDefault="006E2B1C" w:rsidP="00E23A13">
      <w:pPr>
        <w:rPr>
          <w:b/>
          <w:spacing w:val="10"/>
          <w:lang w:eastAsia="en-AU"/>
        </w:rPr>
      </w:pPr>
    </w:p>
    <w:p w:rsidR="006E2B1C" w:rsidRDefault="00C54E71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C54E71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22529" wp14:editId="7CB8659D">
                <wp:simplePos x="0" y="0"/>
                <wp:positionH relativeFrom="page">
                  <wp:posOffset>6228715</wp:posOffset>
                </wp:positionH>
                <wp:positionV relativeFrom="paragraph">
                  <wp:posOffset>47625</wp:posOffset>
                </wp:positionV>
                <wp:extent cx="1152000" cy="14039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E71" w:rsidRDefault="00C54E71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Knowledge and Understanding</w:t>
                            </w:r>
                          </w:p>
                          <w:p w:rsidR="00C54E71" w:rsidRPr="00504ADD" w:rsidRDefault="00504ADD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Introduction clearly links discussion to influences on culture and identity with reference to the two films selected for the task.    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KU2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0.45pt;margin-top:3.75pt;width:90.7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" fillcolor="yellow" stroked="f">
                <v:textbox style="mso-fit-shape-to-text:t">
                  <w:txbxContent>
                    <w:p w:rsidR="00C54E71" w:rsidRDefault="00C54E71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Knowledge and Understanding</w:t>
                      </w:r>
                    </w:p>
                    <w:p w:rsidR="00C54E71" w:rsidRPr="00504ADD" w:rsidRDefault="00504ADD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Introduction clearly links discussion to influences on culture and identity with reference to the two films selected for the task.               </w:t>
                      </w:r>
                      <w:r>
                        <w:rPr>
                          <w:b/>
                          <w:lang w:val="en-US"/>
                        </w:rPr>
                        <w:t>KU2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B1C" w:rsidRPr="002B6F7E">
        <w:rPr>
          <w:spacing w:val="10"/>
          <w:lang w:eastAsia="en-AU"/>
        </w:rPr>
        <w:t>Identity is defined by the qualities given to a person by his or her culture and the ways in which that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person incorporates these into his or her essence and character</w:t>
      </w:r>
      <w:r w:rsidR="006E2B1C">
        <w:rPr>
          <w:rStyle w:val="FootnoteReference"/>
          <w:spacing w:val="10"/>
          <w:lang w:eastAsia="en-AU"/>
        </w:rPr>
        <w:footnoteReference w:id="1"/>
      </w:r>
      <w:r w:rsidR="006E2B1C" w:rsidRPr="002B6F7E">
        <w:rPr>
          <w:spacing w:val="10"/>
          <w:lang w:eastAsia="en-AU"/>
        </w:rPr>
        <w:t xml:space="preserve">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Before the </w:t>
      </w:r>
      <w:proofErr w:type="spellStart"/>
      <w:r w:rsidR="006E2B1C" w:rsidRPr="002B6F7E">
        <w:rPr>
          <w:spacing w:val="10"/>
          <w:lang w:eastAsia="en-AU"/>
        </w:rPr>
        <w:t>colonisation</w:t>
      </w:r>
      <w:proofErr w:type="spellEnd"/>
      <w:r w:rsidR="006E2B1C" w:rsidRPr="002B6F7E">
        <w:rPr>
          <w:spacing w:val="10"/>
          <w:lang w:eastAsia="en-AU"/>
        </w:rPr>
        <w:t xml:space="preserve"> of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Australia and the influences of white culture upon its Aboriginal habitants, Aboriginal culture and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sense of self thrived from history, stories and a form of justice outlined by the tales of the Dream.</w:t>
      </w:r>
      <w:r w:rsidR="006E2B1C">
        <w:rPr>
          <w:spacing w:val="10"/>
          <w:lang w:eastAsia="en-AU"/>
        </w:rPr>
        <w:t xml:space="preserve">  </w:t>
      </w:r>
      <w:r w:rsidR="006E2B1C" w:rsidRPr="002B6F7E">
        <w:rPr>
          <w:spacing w:val="10"/>
          <w:lang w:eastAsia="en-AU"/>
        </w:rPr>
        <w:t xml:space="preserve">The lifestyles and identities of Aboriginal peoples and tribes were </w:t>
      </w:r>
      <w:proofErr w:type="spellStart"/>
      <w:r w:rsidR="006E2B1C" w:rsidRPr="002B6F7E">
        <w:rPr>
          <w:spacing w:val="10"/>
          <w:lang w:eastAsia="en-AU"/>
        </w:rPr>
        <w:t>centred</w:t>
      </w:r>
      <w:proofErr w:type="spellEnd"/>
      <w:r w:rsidR="006E2B1C" w:rsidRPr="002B6F7E">
        <w:rPr>
          <w:spacing w:val="10"/>
          <w:lang w:eastAsia="en-AU"/>
        </w:rPr>
        <w:t xml:space="preserve"> on these rightful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guidelines for living best highlighted in the film </w:t>
      </w:r>
      <w:r w:rsidR="006E2B1C" w:rsidRPr="005F6131">
        <w:rPr>
          <w:i/>
          <w:spacing w:val="10"/>
          <w:szCs w:val="18"/>
          <w:lang w:eastAsia="en-AU"/>
        </w:rPr>
        <w:t>Ten Canoes</w:t>
      </w:r>
      <w:r w:rsidR="006E2B1C">
        <w:rPr>
          <w:rStyle w:val="FootnoteReference"/>
          <w:spacing w:val="10"/>
          <w:szCs w:val="18"/>
          <w:lang w:eastAsia="en-AU"/>
        </w:rPr>
        <w:footnoteReference w:id="2"/>
      </w:r>
      <w:r w:rsidR="006E2B1C" w:rsidRPr="002B6F7E">
        <w:rPr>
          <w:spacing w:val="10"/>
          <w:szCs w:val="18"/>
          <w:lang w:eastAsia="en-AU"/>
        </w:rPr>
        <w:t xml:space="preserve">. </w:t>
      </w:r>
      <w:r w:rsidR="006E2B1C">
        <w:rPr>
          <w:spacing w:val="10"/>
          <w:szCs w:val="18"/>
          <w:lang w:eastAsia="en-AU"/>
        </w:rPr>
        <w:t xml:space="preserve"> </w:t>
      </w:r>
      <w:r w:rsidR="006E2B1C" w:rsidRPr="000B1CD8">
        <w:rPr>
          <w:spacing w:val="10"/>
          <w:highlight w:val="yellow"/>
          <w:lang w:eastAsia="en-AU"/>
        </w:rPr>
        <w:t>In comparison</w:t>
      </w:r>
      <w:r w:rsidR="006E2B1C" w:rsidRPr="002B6F7E">
        <w:rPr>
          <w:spacing w:val="10"/>
          <w:lang w:eastAsia="en-AU"/>
        </w:rPr>
        <w:t xml:space="preserve"> to this healthy society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and perception of </w:t>
      </w:r>
      <w:proofErr w:type="spellStart"/>
      <w:r w:rsidR="006E2B1C" w:rsidRPr="002B6F7E">
        <w:rPr>
          <w:spacing w:val="10"/>
          <w:lang w:eastAsia="en-AU"/>
        </w:rPr>
        <w:t>self pre-</w:t>
      </w:r>
      <w:proofErr w:type="spellEnd"/>
      <w:r w:rsidR="006E2B1C" w:rsidRPr="002B6F7E">
        <w:rPr>
          <w:spacing w:val="10"/>
          <w:lang w:eastAsia="en-AU"/>
        </w:rPr>
        <w:t xml:space="preserve">white invasion, the film </w:t>
      </w:r>
      <w:r w:rsidR="006E2B1C" w:rsidRPr="005F6131">
        <w:rPr>
          <w:i/>
          <w:spacing w:val="10"/>
          <w:szCs w:val="18"/>
          <w:lang w:eastAsia="en-AU"/>
        </w:rPr>
        <w:t xml:space="preserve">Yolngu </w:t>
      </w:r>
      <w:r w:rsidR="006E2B1C" w:rsidRPr="005F6131">
        <w:rPr>
          <w:rFonts w:eastAsia="HiddenHorzOCR" w:cs="HiddenHorzOCR"/>
          <w:i/>
          <w:spacing w:val="10"/>
          <w:szCs w:val="19"/>
          <w:lang w:eastAsia="en-AU"/>
        </w:rPr>
        <w:t>Boy</w:t>
      </w:r>
      <w:r w:rsidR="006E2B1C">
        <w:rPr>
          <w:rStyle w:val="FootnoteReference"/>
          <w:rFonts w:eastAsia="HiddenHorzOCR" w:cs="HiddenHorzOCR"/>
          <w:spacing w:val="10"/>
          <w:szCs w:val="19"/>
          <w:lang w:eastAsia="en-AU"/>
        </w:rPr>
        <w:footnoteReference w:id="3"/>
      </w:r>
      <w:r w:rsidR="006E2B1C" w:rsidRPr="002B6F7E">
        <w:rPr>
          <w:rFonts w:eastAsia="HiddenHorzOCR" w:cs="HiddenHorzOCR"/>
          <w:spacing w:val="10"/>
          <w:szCs w:val="19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encapsulates the devastating effects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of the dynamic between white and Aboriginal culture in the story of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,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>, three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boys from a community in Arnhem Land near </w:t>
      </w:r>
      <w:proofErr w:type="spellStart"/>
      <w:r w:rsidR="006E2B1C" w:rsidRPr="002B6F7E">
        <w:rPr>
          <w:spacing w:val="10"/>
          <w:lang w:eastAsia="en-AU"/>
        </w:rPr>
        <w:t>Maningrida</w:t>
      </w:r>
      <w:proofErr w:type="spellEnd"/>
      <w:r w:rsidR="006E2B1C" w:rsidRPr="002B6F7E">
        <w:rPr>
          <w:spacing w:val="10"/>
          <w:lang w:eastAsia="en-AU"/>
        </w:rPr>
        <w:t>, in search of their identities as men.</w:t>
      </w:r>
    </w:p>
    <w:p w:rsidR="006E2B1C" w:rsidRDefault="006E2B1C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</w:p>
    <w:p w:rsidR="006E2B1C" w:rsidRDefault="00C23732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C23732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041EF" wp14:editId="041E1145">
                <wp:simplePos x="0" y="0"/>
                <wp:positionH relativeFrom="page">
                  <wp:posOffset>6228715</wp:posOffset>
                </wp:positionH>
                <wp:positionV relativeFrom="paragraph">
                  <wp:posOffset>3333750</wp:posOffset>
                </wp:positionV>
                <wp:extent cx="1152000" cy="14039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732" w:rsidRDefault="00C23732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Analysis and Evaluation</w:t>
                            </w:r>
                          </w:p>
                          <w:p w:rsidR="00C23732" w:rsidRPr="00C23732" w:rsidRDefault="00C23732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Student provides insightful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analysis  of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culture and identity and the links between past and present.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AE1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90.45pt;margin-top:262.5pt;width:90.7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" fillcolor="yellow" stroked="f">
                <v:textbox style="mso-fit-shape-to-text:t">
                  <w:txbxContent>
                    <w:p w:rsidR="00C23732" w:rsidRDefault="00C23732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Analysis and Evaluation</w:t>
                      </w:r>
                    </w:p>
                    <w:p w:rsidR="00C23732" w:rsidRPr="00C23732" w:rsidRDefault="00C23732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Student provides insightful </w:t>
                      </w:r>
                      <w:proofErr w:type="gramStart"/>
                      <w:r>
                        <w:rPr>
                          <w:lang w:val="en-US"/>
                        </w:rPr>
                        <w:t>analysis  of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culture and identity and the links between past and present.   </w:t>
                      </w:r>
                      <w:r>
                        <w:rPr>
                          <w:b/>
                          <w:lang w:val="en-US"/>
                        </w:rPr>
                        <w:t>AE1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4ADD" w:rsidRPr="00504ADD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893FD3" wp14:editId="7C6242E0">
                <wp:simplePos x="0" y="0"/>
                <wp:positionH relativeFrom="page">
                  <wp:posOffset>6228715</wp:posOffset>
                </wp:positionH>
                <wp:positionV relativeFrom="paragraph">
                  <wp:posOffset>1971675</wp:posOffset>
                </wp:positionV>
                <wp:extent cx="1152000" cy="140398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ADD" w:rsidRDefault="00504ADD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Communication</w:t>
                            </w:r>
                          </w:p>
                          <w:p w:rsidR="00504ADD" w:rsidRPr="00C23732" w:rsidRDefault="00C23732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Perceptive and appropriate use of evidence from </w:t>
                            </w:r>
                            <w:r w:rsidR="001D043C">
                              <w:rPr>
                                <w:lang w:val="en-US"/>
                              </w:rPr>
                              <w:t>T</w:t>
                            </w:r>
                            <w:r w:rsidR="001D043C">
                              <w:rPr>
                                <w:i/>
                                <w:lang w:val="en-US"/>
                              </w:rPr>
                              <w:t>en C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anoes </w:t>
                            </w:r>
                            <w:r>
                              <w:rPr>
                                <w:lang w:val="en-US"/>
                              </w:rPr>
                              <w:t>to support discussion of culture and identity.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90.45pt;margin-top:155.25pt;width:90.7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" fillcolor="yellow" stroked="f">
                <v:textbox style="mso-fit-shape-to-text:t">
                  <w:txbxContent>
                    <w:p w:rsidR="00504ADD" w:rsidRDefault="00504ADD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Communication</w:t>
                      </w:r>
                    </w:p>
                    <w:p w:rsidR="00504ADD" w:rsidRPr="00C23732" w:rsidRDefault="00C23732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Perceptive and appropriate use of evidence from </w:t>
                      </w:r>
                      <w:r w:rsidR="001D043C">
                        <w:rPr>
                          <w:lang w:val="en-US"/>
                        </w:rPr>
                        <w:t>T</w:t>
                      </w:r>
                      <w:r w:rsidR="001D043C">
                        <w:rPr>
                          <w:i/>
                          <w:lang w:val="en-US"/>
                        </w:rPr>
                        <w:t>en C</w:t>
                      </w:r>
                      <w:r>
                        <w:rPr>
                          <w:i/>
                          <w:lang w:val="en-US"/>
                        </w:rPr>
                        <w:t xml:space="preserve">anoes </w:t>
                      </w:r>
                      <w:r>
                        <w:rPr>
                          <w:lang w:val="en-US"/>
                        </w:rPr>
                        <w:t>to support discussion of culture and identity.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rPr>
                          <w:b/>
                          <w:lang w:val="en-US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4ADD" w:rsidRPr="00504ADD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C7CED" wp14:editId="544187C2">
                <wp:simplePos x="0" y="0"/>
                <wp:positionH relativeFrom="page">
                  <wp:posOffset>6228715</wp:posOffset>
                </wp:positionH>
                <wp:positionV relativeFrom="paragraph">
                  <wp:posOffset>0</wp:posOffset>
                </wp:positionV>
                <wp:extent cx="1152000" cy="1403985"/>
                <wp:effectExtent l="0" t="0" r="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ADD" w:rsidRDefault="00504ADD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Knowledge and Understanding</w:t>
                            </w:r>
                          </w:p>
                          <w:p w:rsidR="00504ADD" w:rsidRPr="00504ADD" w:rsidRDefault="00504ADD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Student demonstrates a comprehensive knowledge and well-informed understanding of aspects of culture and identity and the links between past and present.     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     KU2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90.45pt;margin-top:0;width:90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" fillcolor="yellow" stroked="f">
                <v:textbox style="mso-fit-shape-to-text:t">
                  <w:txbxContent>
                    <w:p w:rsidR="00504ADD" w:rsidRDefault="00504ADD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Knowledge and Understanding</w:t>
                      </w:r>
                    </w:p>
                    <w:p w:rsidR="00504ADD" w:rsidRPr="00504ADD" w:rsidRDefault="00504ADD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Student demonstrates a comprehensive knowledge and well-informed understanding of aspects of culture and identity and the links between past and present.                </w:t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     KU2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B1C" w:rsidRPr="002B6F7E">
        <w:rPr>
          <w:spacing w:val="10"/>
          <w:lang w:eastAsia="en-AU"/>
        </w:rPr>
        <w:t xml:space="preserve">In </w:t>
      </w:r>
      <w:r w:rsidR="006E2B1C" w:rsidRPr="005F6131">
        <w:rPr>
          <w:i/>
          <w:spacing w:val="10"/>
          <w:szCs w:val="18"/>
          <w:lang w:eastAsia="en-AU"/>
        </w:rPr>
        <w:t>Ten Canoes</w:t>
      </w:r>
      <w:r w:rsidR="006E2B1C" w:rsidRPr="002B6F7E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 young man called </w:t>
      </w:r>
      <w:proofErr w:type="spellStart"/>
      <w:r w:rsidR="006E2B1C" w:rsidRPr="002B6F7E">
        <w:rPr>
          <w:spacing w:val="10"/>
          <w:lang w:eastAsia="en-AU"/>
        </w:rPr>
        <w:t>Dayindu</w:t>
      </w:r>
      <w:proofErr w:type="spellEnd"/>
      <w:r w:rsidR="006E2B1C" w:rsidRPr="002B6F7E">
        <w:rPr>
          <w:spacing w:val="10"/>
          <w:lang w:eastAsia="en-AU"/>
        </w:rPr>
        <w:t xml:space="preserve"> is taken hunting in a practical initiation into manhood for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 geese and eggs in the swamplands of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 Arnhem Land.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He admits his infatuation with one of his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elder's younger wives and </w:t>
      </w:r>
      <w:proofErr w:type="spellStart"/>
      <w:r w:rsidR="006E2B1C" w:rsidRPr="002B6F7E">
        <w:rPr>
          <w:spacing w:val="10"/>
          <w:lang w:eastAsia="en-AU"/>
        </w:rPr>
        <w:t>Minygulu</w:t>
      </w:r>
      <w:proofErr w:type="spellEnd"/>
      <w:r w:rsidR="006E2B1C" w:rsidRPr="002B6F7E">
        <w:rPr>
          <w:spacing w:val="10"/>
          <w:lang w:eastAsia="en-AU"/>
        </w:rPr>
        <w:t>, the elder, begins to tell him a tale of their ancestors to show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Dayindu</w:t>
      </w:r>
      <w:proofErr w:type="spellEnd"/>
      <w:r w:rsidR="006E2B1C" w:rsidRPr="002B6F7E">
        <w:rPr>
          <w:spacing w:val="10"/>
          <w:lang w:eastAsia="en-AU"/>
        </w:rPr>
        <w:t xml:space="preserve"> the proper way of living.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 film moves in time between their conversation to the story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that </w:t>
      </w:r>
      <w:proofErr w:type="spellStart"/>
      <w:r w:rsidR="006E2B1C" w:rsidRPr="002B6F7E">
        <w:rPr>
          <w:spacing w:val="10"/>
          <w:lang w:eastAsia="en-AU"/>
        </w:rPr>
        <w:t>Minygulu</w:t>
      </w:r>
      <w:proofErr w:type="spellEnd"/>
      <w:r w:rsidR="006E2B1C" w:rsidRPr="002B6F7E">
        <w:rPr>
          <w:spacing w:val="10"/>
          <w:lang w:eastAsia="en-AU"/>
        </w:rPr>
        <w:t xml:space="preserve"> recounts, allowing the viewer to immerse </w:t>
      </w:r>
      <w:proofErr w:type="gramStart"/>
      <w:r w:rsidR="006E2B1C" w:rsidRPr="002B6F7E">
        <w:rPr>
          <w:spacing w:val="10"/>
          <w:lang w:eastAsia="en-AU"/>
        </w:rPr>
        <w:t>themselves</w:t>
      </w:r>
      <w:proofErr w:type="gramEnd"/>
      <w:r w:rsidR="006E2B1C" w:rsidRPr="002B6F7E">
        <w:rPr>
          <w:spacing w:val="10"/>
          <w:lang w:eastAsia="en-AU"/>
        </w:rPr>
        <w:t xml:space="preserve"> in the story of culture, love, law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and death which begins to evolve </w:t>
      </w:r>
      <w:proofErr w:type="spellStart"/>
      <w:r w:rsidR="006E2B1C" w:rsidRPr="002B6F7E">
        <w:rPr>
          <w:spacing w:val="10"/>
          <w:lang w:eastAsia="en-AU"/>
        </w:rPr>
        <w:t>Dayindu’s</w:t>
      </w:r>
      <w:proofErr w:type="spellEnd"/>
      <w:r w:rsidR="006E2B1C" w:rsidRPr="002B6F7E">
        <w:rPr>
          <w:spacing w:val="10"/>
          <w:lang w:eastAsia="en-AU"/>
        </w:rPr>
        <w:t xml:space="preserve"> ideas of correct living within his culture as a man.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narration of </w:t>
      </w:r>
      <w:r w:rsidR="006E2B1C" w:rsidRPr="005F6131">
        <w:rPr>
          <w:i/>
          <w:spacing w:val="10"/>
          <w:szCs w:val="18"/>
          <w:lang w:eastAsia="en-AU"/>
        </w:rPr>
        <w:t>Ten Canoes</w:t>
      </w:r>
      <w:r w:rsidR="006E2B1C" w:rsidRPr="002B6F7E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is given in a colloquial slang easily recognised as today's stereotypical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Aboriginal English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"this story is a big true sto</w:t>
      </w:r>
      <w:r w:rsidR="006E2B1C">
        <w:rPr>
          <w:spacing w:val="10"/>
          <w:lang w:eastAsia="en-AU"/>
        </w:rPr>
        <w:t xml:space="preserve">ry of my people.  True thing ...” </w:t>
      </w:r>
      <w:r w:rsidR="006E2B1C" w:rsidRPr="002B6F7E">
        <w:rPr>
          <w:spacing w:val="10"/>
          <w:lang w:eastAsia="en-AU"/>
        </w:rPr>
        <w:t>This gives the film an</w:t>
      </w:r>
      <w:r w:rsidR="006E2B1C">
        <w:rPr>
          <w:spacing w:val="10"/>
          <w:lang w:eastAsia="en-AU"/>
        </w:rPr>
        <w:t xml:space="preserve"> </w:t>
      </w:r>
      <w:r w:rsidR="006E2B1C" w:rsidRPr="00A606AD">
        <w:rPr>
          <w:spacing w:val="10"/>
          <w:highlight w:val="yellow"/>
          <w:lang w:eastAsia="en-AU"/>
        </w:rPr>
        <w:t>element of connection</w:t>
      </w:r>
      <w:r w:rsidR="006E2B1C" w:rsidRPr="002B6F7E">
        <w:rPr>
          <w:spacing w:val="10"/>
          <w:lang w:eastAsia="en-AU"/>
        </w:rPr>
        <w:t xml:space="preserve"> to today's disoriented Aboriginal culture shown in </w:t>
      </w:r>
      <w:r w:rsidR="006E2B1C" w:rsidRPr="00901F08">
        <w:rPr>
          <w:i/>
          <w:spacing w:val="10"/>
          <w:szCs w:val="18"/>
          <w:lang w:eastAsia="en-AU"/>
        </w:rPr>
        <w:t>Yolngu Boy</w:t>
      </w:r>
      <w:r w:rsidR="006E2B1C" w:rsidRPr="002B6F7E">
        <w:rPr>
          <w:spacing w:val="10"/>
          <w:szCs w:val="18"/>
          <w:lang w:eastAsia="en-AU"/>
        </w:rPr>
        <w:t xml:space="preserve">. </w:t>
      </w:r>
      <w:r w:rsidR="006E2B1C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Throughout</w:t>
      </w:r>
      <w:r w:rsidR="006E2B1C">
        <w:rPr>
          <w:spacing w:val="10"/>
          <w:lang w:eastAsia="en-AU"/>
        </w:rPr>
        <w:t xml:space="preserve"> </w:t>
      </w:r>
      <w:r w:rsidR="006E2B1C" w:rsidRPr="005F6131">
        <w:rPr>
          <w:i/>
          <w:spacing w:val="10"/>
          <w:szCs w:val="18"/>
          <w:lang w:eastAsia="en-AU"/>
        </w:rPr>
        <w:t>Ten Canoes</w:t>
      </w:r>
      <w:r w:rsidR="006E2B1C" w:rsidRPr="002B6F7E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 men of both </w:t>
      </w:r>
      <w:proofErr w:type="spellStart"/>
      <w:r w:rsidR="006E2B1C" w:rsidRPr="002B6F7E">
        <w:rPr>
          <w:spacing w:val="10"/>
          <w:lang w:eastAsia="en-AU"/>
        </w:rPr>
        <w:t>Dayindu's</w:t>
      </w:r>
      <w:proofErr w:type="spellEnd"/>
      <w:r w:rsidR="006E2B1C" w:rsidRPr="002B6F7E">
        <w:rPr>
          <w:spacing w:val="10"/>
          <w:lang w:eastAsia="en-AU"/>
        </w:rPr>
        <w:t xml:space="preserve"> present tribe and his older ancestors are shown to have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strong connections to the land and ways of their people.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Each member of </w:t>
      </w:r>
      <w:proofErr w:type="spellStart"/>
      <w:r w:rsidR="006E2B1C" w:rsidRPr="002B6F7E">
        <w:rPr>
          <w:spacing w:val="10"/>
          <w:lang w:eastAsia="en-AU"/>
        </w:rPr>
        <w:t>Minygulu's</w:t>
      </w:r>
      <w:proofErr w:type="spellEnd"/>
      <w:r w:rsidR="006E2B1C" w:rsidRPr="002B6F7E">
        <w:rPr>
          <w:spacing w:val="10"/>
          <w:lang w:eastAsia="en-AU"/>
        </w:rPr>
        <w:t xml:space="preserve"> story has a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distinctive identity and sense of self, expressed through their traditional lifestyles.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They are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introduced one by one to the viewer and given a description of their character in relation to and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within the environmental context of their land: "That one is </w:t>
      </w:r>
      <w:proofErr w:type="spellStart"/>
      <w:r w:rsidR="006E2B1C" w:rsidRPr="002B6F7E">
        <w:rPr>
          <w:spacing w:val="10"/>
          <w:lang w:eastAsia="en-AU"/>
        </w:rPr>
        <w:t>Djigirr</w:t>
      </w:r>
      <w:proofErr w:type="spellEnd"/>
      <w:r w:rsidR="006E2B1C" w:rsidRPr="002B6F7E">
        <w:rPr>
          <w:spacing w:val="10"/>
          <w:lang w:eastAsia="en-AU"/>
        </w:rPr>
        <w:t xml:space="preserve">. 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Djigirr</w:t>
      </w:r>
      <w:proofErr w:type="spellEnd"/>
      <w:r w:rsidR="006E2B1C" w:rsidRPr="002B6F7E">
        <w:rPr>
          <w:spacing w:val="10"/>
          <w:lang w:eastAsia="en-AU"/>
        </w:rPr>
        <w:t xml:space="preserve"> talk too much, but maybe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he heard something."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By the end of </w:t>
      </w:r>
      <w:proofErr w:type="spellStart"/>
      <w:r w:rsidR="006E2B1C" w:rsidRPr="002B6F7E">
        <w:rPr>
          <w:spacing w:val="10"/>
          <w:lang w:eastAsia="en-AU"/>
        </w:rPr>
        <w:t>Minygulu's</w:t>
      </w:r>
      <w:proofErr w:type="spellEnd"/>
      <w:r w:rsidR="006E2B1C" w:rsidRPr="002B6F7E">
        <w:rPr>
          <w:spacing w:val="10"/>
          <w:lang w:eastAsia="en-AU"/>
        </w:rPr>
        <w:t xml:space="preserve"> story, </w:t>
      </w:r>
      <w:proofErr w:type="spellStart"/>
      <w:r w:rsidR="006E2B1C" w:rsidRPr="002B6F7E">
        <w:rPr>
          <w:spacing w:val="10"/>
          <w:lang w:eastAsia="en-AU"/>
        </w:rPr>
        <w:t>Dayindu</w:t>
      </w:r>
      <w:proofErr w:type="spellEnd"/>
      <w:r w:rsidR="006E2B1C" w:rsidRPr="002B6F7E">
        <w:rPr>
          <w:spacing w:val="10"/>
          <w:lang w:eastAsia="en-AU"/>
        </w:rPr>
        <w:t xml:space="preserve"> learns patience and the deeper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cultural undercurrents behind marriage and adultery.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 recount given him, not only taught him to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respect and understand the laws of his people but also how the characteristics of the men in the tale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caused </w:t>
      </w:r>
      <w:proofErr w:type="spellStart"/>
      <w:r w:rsidR="006E2B1C" w:rsidRPr="002B6F7E">
        <w:rPr>
          <w:spacing w:val="10"/>
          <w:lang w:eastAsia="en-AU"/>
        </w:rPr>
        <w:t>Ridjimiraril's</w:t>
      </w:r>
      <w:proofErr w:type="spellEnd"/>
      <w:r w:rsidR="006E2B1C" w:rsidRPr="002B6F7E">
        <w:rPr>
          <w:spacing w:val="10"/>
          <w:lang w:eastAsia="en-AU"/>
        </w:rPr>
        <w:t xml:space="preserve"> death in the end.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 similarities in the ways </w:t>
      </w:r>
      <w:proofErr w:type="spellStart"/>
      <w:r w:rsidR="006E2B1C" w:rsidRPr="002B6F7E">
        <w:rPr>
          <w:spacing w:val="10"/>
          <w:lang w:eastAsia="en-AU"/>
        </w:rPr>
        <w:t>Dayindu's</w:t>
      </w:r>
      <w:proofErr w:type="spellEnd"/>
      <w:r w:rsidR="006E2B1C" w:rsidRPr="002B6F7E">
        <w:rPr>
          <w:spacing w:val="10"/>
          <w:lang w:eastAsia="en-AU"/>
        </w:rPr>
        <w:t xml:space="preserve"> ancestors hunted the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geese which he learnt to hunt expresses the connection throughout time between the </w:t>
      </w:r>
      <w:proofErr w:type="spellStart"/>
      <w:r w:rsidR="006E2B1C" w:rsidRPr="002B6F7E">
        <w:rPr>
          <w:spacing w:val="10"/>
          <w:lang w:eastAsia="en-AU"/>
        </w:rPr>
        <w:t>Dayindu</w:t>
      </w:r>
      <w:proofErr w:type="spellEnd"/>
      <w:r w:rsidR="006E2B1C" w:rsidRPr="002B6F7E">
        <w:rPr>
          <w:spacing w:val="10"/>
          <w:lang w:eastAsia="en-AU"/>
        </w:rPr>
        <w:t xml:space="preserve"> and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 central character of </w:t>
      </w:r>
      <w:proofErr w:type="spellStart"/>
      <w:r w:rsidR="006E2B1C" w:rsidRPr="002B6F7E">
        <w:rPr>
          <w:spacing w:val="10"/>
          <w:lang w:eastAsia="en-AU"/>
        </w:rPr>
        <w:t>Minygulu's</w:t>
      </w:r>
      <w:proofErr w:type="spellEnd"/>
      <w:r w:rsidR="006E2B1C" w:rsidRPr="002B6F7E">
        <w:rPr>
          <w:spacing w:val="10"/>
          <w:lang w:eastAsia="en-AU"/>
        </w:rPr>
        <w:t xml:space="preserve"> recount.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story helped found the new respect in </w:t>
      </w:r>
      <w:proofErr w:type="spellStart"/>
      <w:r w:rsidR="006E2B1C" w:rsidRPr="002B6F7E">
        <w:rPr>
          <w:spacing w:val="10"/>
          <w:lang w:eastAsia="en-AU"/>
        </w:rPr>
        <w:t>Dayindu's</w:t>
      </w:r>
      <w:proofErr w:type="spellEnd"/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conduct through his cultural identity.</w:t>
      </w:r>
    </w:p>
    <w:p w:rsidR="006E2B1C" w:rsidRDefault="006E2B1C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</w:p>
    <w:p w:rsidR="006E2B1C" w:rsidRDefault="00597D9B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C23732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D8DD0C" wp14:editId="27A513B1">
                <wp:simplePos x="0" y="0"/>
                <wp:positionH relativeFrom="page">
                  <wp:posOffset>6247765</wp:posOffset>
                </wp:positionH>
                <wp:positionV relativeFrom="paragraph">
                  <wp:posOffset>19050</wp:posOffset>
                </wp:positionV>
                <wp:extent cx="1151890" cy="140398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732" w:rsidRDefault="00C23732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Communication</w:t>
                            </w:r>
                          </w:p>
                          <w:p w:rsidR="00C23732" w:rsidRPr="00BF4991" w:rsidRDefault="00C23732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Student demonstrates insightful, focused and structured communication in </w:t>
                            </w:r>
                            <w:r w:rsidR="00BF4991">
                              <w:rPr>
                                <w:lang w:val="en-US"/>
                              </w:rPr>
                              <w:t xml:space="preserve">contrasting elements of both films.               </w:t>
                            </w:r>
                            <w:r w:rsidR="00BF4991">
                              <w:rPr>
                                <w:b/>
                                <w:lang w:val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91.95pt;margin-top:1.5pt;width:90.7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" fillcolor="yellow" stroked="f">
                <v:textbox style="mso-fit-shape-to-text:t">
                  <w:txbxContent>
                    <w:p w:rsidR="00C23732" w:rsidRDefault="00C23732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Communication</w:t>
                      </w:r>
                    </w:p>
                    <w:p w:rsidR="00C23732" w:rsidRPr="00BF4991" w:rsidRDefault="00C23732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Student demonstrates insightful, focused and structured communication in </w:t>
                      </w:r>
                      <w:r w:rsidR="00BF4991">
                        <w:rPr>
                          <w:lang w:val="en-US"/>
                        </w:rPr>
                        <w:t xml:space="preserve">contrasting elements of both films.               </w:t>
                      </w:r>
                      <w:r w:rsidR="00BF4991">
                        <w:rPr>
                          <w:b/>
                          <w:lang w:val="en-US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B1C" w:rsidRPr="002B6F7E">
        <w:rPr>
          <w:spacing w:val="10"/>
          <w:lang w:eastAsia="en-AU"/>
        </w:rPr>
        <w:t xml:space="preserve">In </w:t>
      </w:r>
      <w:r w:rsidR="006E2B1C" w:rsidRPr="005F6131">
        <w:rPr>
          <w:i/>
          <w:spacing w:val="10"/>
          <w:szCs w:val="18"/>
          <w:lang w:eastAsia="en-AU"/>
        </w:rPr>
        <w:t>Yolngu Boy</w:t>
      </w:r>
      <w:r w:rsidR="006E2B1C" w:rsidRPr="002B6F7E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 story of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,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</w:t>
      </w:r>
      <w:r w:rsidR="006E2B1C" w:rsidRPr="00A606AD">
        <w:rPr>
          <w:spacing w:val="10"/>
          <w:highlight w:val="yellow"/>
          <w:lang w:eastAsia="en-AU"/>
        </w:rPr>
        <w:t>contrasts between</w:t>
      </w:r>
      <w:r w:rsidR="006E2B1C" w:rsidRPr="002B6F7E">
        <w:rPr>
          <w:spacing w:val="10"/>
          <w:lang w:eastAsia="en-AU"/>
        </w:rPr>
        <w:t xml:space="preserve"> the healthy cultural identity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shown in </w:t>
      </w:r>
      <w:r w:rsidR="006E2B1C" w:rsidRPr="005F6131">
        <w:rPr>
          <w:i/>
          <w:spacing w:val="10"/>
          <w:szCs w:val="18"/>
          <w:lang w:eastAsia="en-AU"/>
        </w:rPr>
        <w:t>Ten Canoes</w:t>
      </w:r>
      <w:r w:rsidR="006E2B1C" w:rsidRPr="002B6F7E">
        <w:rPr>
          <w:spacing w:val="10"/>
          <w:szCs w:val="18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and the current state of Aboriginal identity from the same region in Arnhem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Land.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The film presents a range of familiar and major influences white culture has imposed on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Aboriginal tradition as well as their affects, both negative and positive on the three boys.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is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fanatical about football, he represents the love for the sport which has inspired </w:t>
      </w:r>
      <w:proofErr w:type="spellStart"/>
      <w:r w:rsidR="006E2B1C" w:rsidRPr="002B6F7E">
        <w:rPr>
          <w:spacing w:val="10"/>
          <w:lang w:eastAsia="en-AU"/>
        </w:rPr>
        <w:t>Clontarf</w:t>
      </w:r>
      <w:proofErr w:type="spellEnd"/>
      <w:r w:rsidR="006E2B1C" w:rsidRPr="002B6F7E">
        <w:rPr>
          <w:spacing w:val="10"/>
          <w:lang w:eastAsia="en-AU"/>
        </w:rPr>
        <w:t xml:space="preserve"> and other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football </w:t>
      </w:r>
      <w:proofErr w:type="spellStart"/>
      <w:r w:rsidR="006E2B1C" w:rsidRPr="002B6F7E">
        <w:rPr>
          <w:spacing w:val="10"/>
          <w:lang w:eastAsia="en-AU"/>
        </w:rPr>
        <w:t>centred</w:t>
      </w:r>
      <w:proofErr w:type="spellEnd"/>
      <w:r w:rsidR="006E2B1C" w:rsidRPr="002B6F7E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organisations</w:t>
      </w:r>
      <w:proofErr w:type="spellEnd"/>
      <w:r w:rsidR="006E2B1C" w:rsidRPr="002B6F7E">
        <w:rPr>
          <w:spacing w:val="10"/>
          <w:lang w:eastAsia="en-AU"/>
        </w:rPr>
        <w:t xml:space="preserve"> in Australia to give a sense of placement and stability to many young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Aborigines. 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is chosen with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who is the central character and hunter of the group, by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Dawu</w:t>
      </w:r>
      <w:proofErr w:type="spellEnd"/>
      <w:r w:rsidR="006E2B1C" w:rsidRPr="002B6F7E">
        <w:rPr>
          <w:spacing w:val="10"/>
          <w:lang w:eastAsia="en-AU"/>
        </w:rPr>
        <w:t xml:space="preserve"> the elder who regulates the time when "men's business" or initiation into manhood may start</w:t>
      </w:r>
      <w:r w:rsidR="006E2B1C">
        <w:rPr>
          <w:spacing w:val="10"/>
          <w:lang w:eastAsia="en-AU"/>
        </w:rPr>
        <w:t xml:space="preserve"> for the boys he regards as ready. </w:t>
      </w:r>
    </w:p>
    <w:p w:rsidR="006E2B1C" w:rsidRDefault="00BF4991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BF4991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4A172" wp14:editId="0C226FDA">
                <wp:simplePos x="0" y="0"/>
                <wp:positionH relativeFrom="page">
                  <wp:posOffset>6228715</wp:posOffset>
                </wp:positionH>
                <wp:positionV relativeFrom="paragraph">
                  <wp:posOffset>194310</wp:posOffset>
                </wp:positionV>
                <wp:extent cx="1151890" cy="140398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91" w:rsidRDefault="00BF4991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Analysis and Evaluation</w:t>
                            </w:r>
                          </w:p>
                          <w:p w:rsidR="00BF4991" w:rsidRPr="00BF4991" w:rsidRDefault="00BF4991" w:rsidP="00BF4991">
                            <w:pPr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proofErr w:type="gramStart"/>
                            <w:r w:rsidRPr="00BF4991">
                              <w:rPr>
                                <w:sz w:val="18"/>
                                <w:szCs w:val="18"/>
                                <w:lang w:val="en-US"/>
                              </w:rPr>
                              <w:t>Insightful and well-informed analysis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and evaluation of social issues relating to the impact on Aboriginal people’s culture and identities and the impact of white </w:t>
                            </w:r>
                            <w:proofErr w:type="spellStart"/>
                            <w:r>
                              <w:rPr>
                                <w:sz w:val="18"/>
                                <w:lang w:val="en-US"/>
                              </w:rPr>
                              <w:t>colonisation</w:t>
                            </w:r>
                            <w:proofErr w:type="spellEnd"/>
                            <w:r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BF4991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90.45pt;margin-top:15.3pt;width:90.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" fillcolor="yellow" stroked="f">
                <v:textbox style="mso-fit-shape-to-text:t">
                  <w:txbxContent>
                    <w:p w:rsidR="00BF4991" w:rsidRDefault="00BF4991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Analysis and Evaluation</w:t>
                      </w:r>
                    </w:p>
                    <w:p w:rsidR="00BF4991" w:rsidRPr="00BF4991" w:rsidRDefault="00BF4991" w:rsidP="00BF4991">
                      <w:pPr>
                        <w:rPr>
                          <w:b/>
                          <w:sz w:val="18"/>
                          <w:lang w:val="en-US"/>
                        </w:rPr>
                      </w:pPr>
                      <w:proofErr w:type="gramStart"/>
                      <w:r w:rsidRPr="00BF4991">
                        <w:rPr>
                          <w:sz w:val="18"/>
                          <w:szCs w:val="18"/>
                          <w:lang w:val="en-US"/>
                        </w:rPr>
                        <w:t>Insightful and well-informed analysis</w:t>
                      </w:r>
                      <w:r>
                        <w:rPr>
                          <w:sz w:val="18"/>
                          <w:lang w:val="en-US"/>
                        </w:rPr>
                        <w:t xml:space="preserve"> and evaluation of social issues relating to the impact on Aboriginal people’s culture and identities and the impact of white 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colonisation</w:t>
                      </w:r>
                      <w:proofErr w:type="spellEnd"/>
                      <w:r>
                        <w:rPr>
                          <w:sz w:val="18"/>
                          <w:lang w:val="en-US"/>
                        </w:rPr>
                        <w:t>.</w:t>
                      </w:r>
                      <w:proofErr w:type="gramEnd"/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Pr="00BF4991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>AE1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2B1C" w:rsidRDefault="001A6ACD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C54E71">
        <w:rPr>
          <w:b/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C1FDC" wp14:editId="08DF3642">
                <wp:simplePos x="0" y="0"/>
                <wp:positionH relativeFrom="page">
                  <wp:posOffset>6257290</wp:posOffset>
                </wp:positionH>
                <wp:positionV relativeFrom="paragraph">
                  <wp:posOffset>4779645</wp:posOffset>
                </wp:positionV>
                <wp:extent cx="115189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E71" w:rsidRDefault="00324A6F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Communication</w:t>
                            </w:r>
                          </w:p>
                          <w:p w:rsidR="00CF6B8B" w:rsidRDefault="00324A6F" w:rsidP="0082271A">
                            <w:pPr>
                              <w:pStyle w:val="SMBoxText"/>
                              <w:rPr>
                                <w:b/>
                                <w:szCs w:val="18"/>
                                <w:lang w:val="en-US"/>
                              </w:rPr>
                            </w:pPr>
                            <w:r w:rsidRPr="00324A6F">
                              <w:rPr>
                                <w:szCs w:val="18"/>
                                <w:lang w:val="en-US"/>
                              </w:rPr>
                              <w:t xml:space="preserve">Insightful, focused and structured conclusion 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 xml:space="preserve">which links back to the introduction and the discussion points within the essay.  </w:t>
                            </w:r>
                            <w:r w:rsidR="00CF6B8B">
                              <w:rPr>
                                <w:szCs w:val="18"/>
                                <w:lang w:val="en-US"/>
                              </w:rPr>
                              <w:t xml:space="preserve">         </w:t>
                            </w:r>
                            <w:r w:rsidR="00CF6B8B">
                              <w:rPr>
                                <w:b/>
                                <w:szCs w:val="18"/>
                                <w:lang w:val="en-US"/>
                              </w:rPr>
                              <w:t>C1</w:t>
                            </w:r>
                          </w:p>
                          <w:p w:rsidR="00C54E71" w:rsidRPr="00324A6F" w:rsidRDefault="00CF6B8B" w:rsidP="0082271A">
                            <w:pPr>
                              <w:pStyle w:val="SMBoxText"/>
                              <w:rPr>
                                <w:b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Cs w:val="18"/>
                                <w:lang w:val="en-US"/>
                              </w:rPr>
                              <w:t>Perceptive and appropriate use of evidence and acknowledgment of a range of sources throughout.</w:t>
                            </w:r>
                            <w:proofErr w:type="gramEnd"/>
                            <w:r>
                              <w:rPr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Cs w:val="18"/>
                                <w:lang w:val="en-US"/>
                              </w:rPr>
                              <w:t>C2</w:t>
                            </w:r>
                            <w:r w:rsidR="00324A6F">
                              <w:rPr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492.7pt;margin-top:376.35pt;width:90.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" fillcolor="yellow" stroked="f">
                <v:textbox style="mso-fit-shape-to-text:t">
                  <w:txbxContent>
                    <w:p w:rsidR="00C54E71" w:rsidRDefault="00324A6F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Communication</w:t>
                      </w:r>
                    </w:p>
                    <w:p w:rsidR="00CF6B8B" w:rsidRDefault="00324A6F" w:rsidP="0082271A">
                      <w:pPr>
                        <w:pStyle w:val="SMBoxText"/>
                        <w:rPr>
                          <w:b/>
                          <w:szCs w:val="18"/>
                          <w:lang w:val="en-US"/>
                        </w:rPr>
                      </w:pPr>
                      <w:r w:rsidRPr="00324A6F">
                        <w:rPr>
                          <w:szCs w:val="18"/>
                          <w:lang w:val="en-US"/>
                        </w:rPr>
                        <w:t xml:space="preserve">Insightful, focused and structured conclusion </w:t>
                      </w:r>
                      <w:r>
                        <w:rPr>
                          <w:szCs w:val="18"/>
                          <w:lang w:val="en-US"/>
                        </w:rPr>
                        <w:t xml:space="preserve">which links back to the introduction and the discussion points within the essay.  </w:t>
                      </w:r>
                      <w:r w:rsidR="00CF6B8B">
                        <w:rPr>
                          <w:szCs w:val="18"/>
                          <w:lang w:val="en-US"/>
                        </w:rPr>
                        <w:t xml:space="preserve">         </w:t>
                      </w:r>
                      <w:r w:rsidR="00CF6B8B">
                        <w:rPr>
                          <w:b/>
                          <w:szCs w:val="18"/>
                          <w:lang w:val="en-US"/>
                        </w:rPr>
                        <w:t>C1</w:t>
                      </w:r>
                    </w:p>
                    <w:p w:rsidR="00C54E71" w:rsidRPr="00324A6F" w:rsidRDefault="00CF6B8B" w:rsidP="0082271A">
                      <w:pPr>
                        <w:pStyle w:val="SMBoxText"/>
                        <w:rPr>
                          <w:b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szCs w:val="18"/>
                          <w:lang w:val="en-US"/>
                        </w:rPr>
                        <w:t>Perceptive and appropriate use of evidence and acknowledgment of a range of sources throughout.</w:t>
                      </w:r>
                      <w:proofErr w:type="gramEnd"/>
                      <w:r>
                        <w:rPr>
                          <w:szCs w:val="18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szCs w:val="18"/>
                          <w:lang w:val="en-US"/>
                        </w:rPr>
                        <w:t>C2</w:t>
                      </w:r>
                      <w:r w:rsidR="00324A6F">
                        <w:rPr>
                          <w:szCs w:val="18"/>
                          <w:lang w:val="en-US"/>
                        </w:rPr>
                        <w:t xml:space="preserve">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4991" w:rsidRPr="00BF4991">
        <w:rPr>
          <w:noProof/>
          <w:spacing w:val="10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7E57D" wp14:editId="5B5B9BFD">
                <wp:simplePos x="0" y="0"/>
                <wp:positionH relativeFrom="page">
                  <wp:posOffset>6228715</wp:posOffset>
                </wp:positionH>
                <wp:positionV relativeFrom="paragraph">
                  <wp:posOffset>2057400</wp:posOffset>
                </wp:positionV>
                <wp:extent cx="1152000" cy="140398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91" w:rsidRDefault="00BF4991" w:rsidP="0082271A">
                            <w:pPr>
                              <w:pStyle w:val="SMBox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Knowledge and Understanding</w:t>
                            </w:r>
                          </w:p>
                          <w:p w:rsidR="00BF4991" w:rsidRPr="00CF6B8B" w:rsidRDefault="00BF4991" w:rsidP="0082271A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Student demonstrates a comprehensive knowledge and </w:t>
                            </w:r>
                            <w:r w:rsidR="00CF6B8B">
                              <w:rPr>
                                <w:lang w:val="en-US"/>
                              </w:rPr>
                              <w:t xml:space="preserve">understanding of the impact of </w:t>
                            </w:r>
                            <w:proofErr w:type="spellStart"/>
                            <w:r w:rsidR="00CF6B8B">
                              <w:rPr>
                                <w:lang w:val="en-US"/>
                              </w:rPr>
                              <w:t>colonisation</w:t>
                            </w:r>
                            <w:proofErr w:type="spellEnd"/>
                            <w:r w:rsidR="00CF6B8B">
                              <w:rPr>
                                <w:lang w:val="en-US"/>
                              </w:rPr>
                              <w:t xml:space="preserve"> on the loss of culture and identity, and the importance of connecting with culture to maintain identity.         </w:t>
                            </w:r>
                            <w:r w:rsidR="00CF6B8B">
                              <w:rPr>
                                <w:b/>
                                <w:lang w:val="en-US"/>
                              </w:rPr>
                              <w:t>KU2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490.45pt;margin-top:162pt;width:90.7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" fillcolor="yellow" stroked="f">
                <v:textbox style="mso-fit-shape-to-text:t">
                  <w:txbxContent>
                    <w:p w:rsidR="00BF4991" w:rsidRDefault="00BF4991" w:rsidP="0082271A">
                      <w:pPr>
                        <w:pStyle w:val="SMBox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Knowledge and Understanding</w:t>
                      </w:r>
                    </w:p>
                    <w:p w:rsidR="00BF4991" w:rsidRPr="00CF6B8B" w:rsidRDefault="00BF4991" w:rsidP="0082271A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Student demonstrates a comprehensive knowledge and </w:t>
                      </w:r>
                      <w:r w:rsidR="00CF6B8B">
                        <w:rPr>
                          <w:lang w:val="en-US"/>
                        </w:rPr>
                        <w:t xml:space="preserve">understanding of the impact of </w:t>
                      </w:r>
                      <w:proofErr w:type="spellStart"/>
                      <w:r w:rsidR="00CF6B8B">
                        <w:rPr>
                          <w:lang w:val="en-US"/>
                        </w:rPr>
                        <w:t>colonisation</w:t>
                      </w:r>
                      <w:proofErr w:type="spellEnd"/>
                      <w:r w:rsidR="00CF6B8B">
                        <w:rPr>
                          <w:lang w:val="en-US"/>
                        </w:rPr>
                        <w:t xml:space="preserve"> on the loss of culture and identity, and the importance of connecting with culture to maintain identity.         </w:t>
                      </w:r>
                      <w:r w:rsidR="00CF6B8B">
                        <w:rPr>
                          <w:b/>
                          <w:lang w:val="en-US"/>
                        </w:rPr>
                        <w:t>KU2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 is enraged by this, after having arrived back to the community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after three months in prison.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He "walks on the wild side" and encapsulates the anger and feeling of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displacement which causes crime and petrol sniffing in the Aboriginal youth of Australia. His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cigarette addiction </w:t>
      </w:r>
      <w:proofErr w:type="spellStart"/>
      <w:r w:rsidR="006E2B1C" w:rsidRPr="002B6F7E">
        <w:rPr>
          <w:spacing w:val="10"/>
          <w:lang w:eastAsia="en-AU"/>
        </w:rPr>
        <w:t>symbolises</w:t>
      </w:r>
      <w:proofErr w:type="spellEnd"/>
      <w:r w:rsidR="006E2B1C" w:rsidRPr="002B6F7E">
        <w:rPr>
          <w:spacing w:val="10"/>
          <w:lang w:eastAsia="en-AU"/>
        </w:rPr>
        <w:t xml:space="preserve"> his adopted ideals brought by </w:t>
      </w:r>
      <w:proofErr w:type="spellStart"/>
      <w:r w:rsidR="006E2B1C" w:rsidRPr="002B6F7E">
        <w:rPr>
          <w:spacing w:val="10"/>
          <w:lang w:eastAsia="en-AU"/>
        </w:rPr>
        <w:t>colonisation</w:t>
      </w:r>
      <w:proofErr w:type="spellEnd"/>
      <w:r w:rsidR="006E2B1C" w:rsidRPr="002B6F7E">
        <w:rPr>
          <w:spacing w:val="10"/>
          <w:lang w:eastAsia="en-AU"/>
        </w:rPr>
        <w:t xml:space="preserve"> to Australia.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This habit and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its importance drive him to pressure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into breaking into the local store with him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"only for smokes".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When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confronts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 after </w:t>
      </w:r>
      <w:proofErr w:type="gramStart"/>
      <w:r w:rsidR="006E2B1C" w:rsidRPr="002B6F7E">
        <w:rPr>
          <w:spacing w:val="10"/>
          <w:lang w:eastAsia="en-AU"/>
        </w:rPr>
        <w:t>he</w:t>
      </w:r>
      <w:proofErr w:type="gram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rampage through the shop,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syphons petrol out of a container and in his aggravated stupor sets the women's </w:t>
      </w:r>
      <w:proofErr w:type="spellStart"/>
      <w:r w:rsidR="006E2B1C" w:rsidRPr="002B6F7E">
        <w:rPr>
          <w:spacing w:val="10"/>
          <w:lang w:eastAsia="en-AU"/>
        </w:rPr>
        <w:t>centre</w:t>
      </w:r>
      <w:proofErr w:type="spellEnd"/>
      <w:r w:rsidR="006E2B1C" w:rsidRPr="002B6F7E">
        <w:rPr>
          <w:spacing w:val="10"/>
          <w:lang w:eastAsia="en-AU"/>
        </w:rPr>
        <w:t xml:space="preserve"> on fire after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trying to light a smoke.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This metaphor of white culture's influence on his criminal tendencies and its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destruction of tradition </w:t>
      </w:r>
      <w:proofErr w:type="gramStart"/>
      <w:r w:rsidR="006E2B1C" w:rsidRPr="002B6F7E">
        <w:rPr>
          <w:spacing w:val="10"/>
          <w:lang w:eastAsia="en-AU"/>
        </w:rPr>
        <w:t>is</w:t>
      </w:r>
      <w:proofErr w:type="gramEnd"/>
      <w:r w:rsidR="006E2B1C" w:rsidRPr="002B6F7E">
        <w:rPr>
          <w:spacing w:val="10"/>
          <w:lang w:eastAsia="en-AU"/>
        </w:rPr>
        <w:t xml:space="preserve"> powerful in its resonance with </w:t>
      </w:r>
      <w:proofErr w:type="spellStart"/>
      <w:r w:rsidR="006E2B1C" w:rsidRPr="002B6F7E">
        <w:rPr>
          <w:spacing w:val="10"/>
          <w:lang w:eastAsia="en-AU"/>
        </w:rPr>
        <w:t>Boti's</w:t>
      </w:r>
      <w:proofErr w:type="spellEnd"/>
      <w:r w:rsidR="006E2B1C" w:rsidRPr="002B6F7E">
        <w:rPr>
          <w:spacing w:val="10"/>
          <w:lang w:eastAsia="en-AU"/>
        </w:rPr>
        <w:t xml:space="preserve"> rage, stemming from his jealousy of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Milika's</w:t>
      </w:r>
      <w:proofErr w:type="spellEnd"/>
      <w:r w:rsidR="006E2B1C" w:rsidRPr="002B6F7E">
        <w:rPr>
          <w:spacing w:val="10"/>
          <w:lang w:eastAsia="en-AU"/>
        </w:rPr>
        <w:t xml:space="preserve"> initiation.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Without the tampering of white culture and identity,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 would have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been chosen with his friends to become a man.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 Instead </w:t>
      </w:r>
      <w:proofErr w:type="spellStart"/>
      <w:r w:rsidR="006E2B1C" w:rsidRPr="002B6F7E">
        <w:rPr>
          <w:spacing w:val="10"/>
          <w:lang w:eastAsia="en-AU"/>
        </w:rPr>
        <w:t>Boti's</w:t>
      </w:r>
      <w:proofErr w:type="spellEnd"/>
      <w:r w:rsidR="006E2B1C" w:rsidRPr="002B6F7E">
        <w:rPr>
          <w:spacing w:val="10"/>
          <w:lang w:eastAsia="en-AU"/>
        </w:rPr>
        <w:t xml:space="preserve"> actions cause the three to run away to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Darwin, with the police close behind in search of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Along the way both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and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find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their identities as men. 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becomes closer with the land and his totem spirit </w:t>
      </w:r>
      <w:proofErr w:type="spellStart"/>
      <w:r w:rsidR="006E2B1C" w:rsidRPr="002B6F7E">
        <w:rPr>
          <w:spacing w:val="10"/>
          <w:lang w:eastAsia="en-AU"/>
        </w:rPr>
        <w:t>Baru</w:t>
      </w:r>
      <w:proofErr w:type="spellEnd"/>
      <w:r w:rsidR="006E2B1C">
        <w:rPr>
          <w:rStyle w:val="FootnoteReference"/>
          <w:spacing w:val="10"/>
          <w:lang w:eastAsia="en-AU"/>
        </w:rPr>
        <w:footnoteReference w:id="4"/>
      </w:r>
      <w:r w:rsidR="006E2B1C" w:rsidRPr="002B6F7E">
        <w:rPr>
          <w:spacing w:val="10"/>
          <w:lang w:eastAsia="en-AU"/>
        </w:rPr>
        <w:t xml:space="preserve"> the crocodile,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he hunts for food in traditional paint and heals </w:t>
      </w:r>
      <w:proofErr w:type="spellStart"/>
      <w:r w:rsidR="006E2B1C" w:rsidRPr="002B6F7E">
        <w:rPr>
          <w:spacing w:val="10"/>
          <w:lang w:eastAsia="en-AU"/>
        </w:rPr>
        <w:t>Boti's</w:t>
      </w:r>
      <w:proofErr w:type="spellEnd"/>
      <w:r w:rsidR="006E2B1C" w:rsidRPr="002B6F7E">
        <w:rPr>
          <w:spacing w:val="10"/>
          <w:lang w:eastAsia="en-AU"/>
        </w:rPr>
        <w:t xml:space="preserve"> arm with natural remedies telling of how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"[they] must live proper way" or risk forgetting their culture and themselves.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In contrast </w:t>
      </w:r>
      <w:proofErr w:type="spellStart"/>
      <w:r w:rsidR="006E2B1C" w:rsidRPr="002B6F7E">
        <w:rPr>
          <w:spacing w:val="10"/>
          <w:lang w:eastAsia="en-AU"/>
        </w:rPr>
        <w:t>Milika</w:t>
      </w:r>
      <w:proofErr w:type="spellEnd"/>
      <w:r w:rsidR="006E2B1C" w:rsidRPr="002B6F7E">
        <w:rPr>
          <w:spacing w:val="10"/>
          <w:lang w:eastAsia="en-AU"/>
        </w:rPr>
        <w:t xml:space="preserve"> find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his identity in both his traditional and white values learned from both cultures. 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 xml:space="preserve">Helping </w:t>
      </w:r>
      <w:proofErr w:type="spellStart"/>
      <w:r w:rsidR="006E2B1C" w:rsidRPr="002B6F7E">
        <w:rPr>
          <w:spacing w:val="10"/>
          <w:lang w:eastAsia="en-AU"/>
        </w:rPr>
        <w:t>Lorrpu</w:t>
      </w:r>
      <w:proofErr w:type="spellEnd"/>
      <w:r w:rsidR="006E2B1C" w:rsidRPr="002B6F7E">
        <w:rPr>
          <w:spacing w:val="10"/>
          <w:lang w:eastAsia="en-AU"/>
        </w:rPr>
        <w:t xml:space="preserve"> hunt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turtles and become properly initiated as well as affirming his place by observing the Aboriginal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football players in Darwin, being more concerned with the sport than his traditional culture.</w:t>
      </w:r>
      <w:r w:rsidR="006E2B1C">
        <w:rPr>
          <w:spacing w:val="10"/>
          <w:lang w:eastAsia="en-AU"/>
        </w:rPr>
        <w:t xml:space="preserve">  </w:t>
      </w:r>
      <w:r w:rsidR="006E2B1C" w:rsidRPr="002B6F7E">
        <w:rPr>
          <w:spacing w:val="10"/>
          <w:lang w:eastAsia="en-AU"/>
        </w:rPr>
        <w:t xml:space="preserve">However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 continues to encapsulate the tragedy of cultural disorientation in today's Australia, he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finds his father in Darwin, too drunk to do more than ask for a Cigarette, the metaphor for</w:t>
      </w:r>
      <w:r w:rsidR="006E2B1C">
        <w:rPr>
          <w:spacing w:val="10"/>
          <w:lang w:eastAsia="en-AU"/>
        </w:rPr>
        <w:t xml:space="preserve"> </w:t>
      </w:r>
      <w:proofErr w:type="spellStart"/>
      <w:r w:rsidR="006E2B1C" w:rsidRPr="002B6F7E">
        <w:rPr>
          <w:spacing w:val="10"/>
          <w:lang w:eastAsia="en-AU"/>
        </w:rPr>
        <w:t>colonisation's</w:t>
      </w:r>
      <w:proofErr w:type="spellEnd"/>
      <w:r w:rsidR="006E2B1C" w:rsidRPr="002B6F7E">
        <w:rPr>
          <w:spacing w:val="10"/>
          <w:lang w:eastAsia="en-AU"/>
        </w:rPr>
        <w:t xml:space="preserve"> negative effects on Aborigines. </w:t>
      </w:r>
      <w:proofErr w:type="spellStart"/>
      <w:r w:rsidR="006E2B1C" w:rsidRPr="002B6F7E">
        <w:rPr>
          <w:spacing w:val="10"/>
          <w:lang w:eastAsia="en-AU"/>
        </w:rPr>
        <w:t>Botj</w:t>
      </w:r>
      <w:proofErr w:type="spellEnd"/>
      <w:r w:rsidR="006E2B1C" w:rsidRPr="002B6F7E">
        <w:rPr>
          <w:spacing w:val="10"/>
          <w:lang w:eastAsia="en-AU"/>
        </w:rPr>
        <w:t xml:space="preserve"> runs in a rage of confusion and sadness, sniffing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petrol until the memory of what culture and sense of self he lost as a boy with his friends, causes</w:t>
      </w:r>
      <w:r w:rsidR="006E2B1C">
        <w:rPr>
          <w:spacing w:val="10"/>
          <w:lang w:eastAsia="en-AU"/>
        </w:rPr>
        <w:t xml:space="preserve"> </w:t>
      </w:r>
      <w:r w:rsidR="006E2B1C" w:rsidRPr="002B6F7E">
        <w:rPr>
          <w:spacing w:val="10"/>
          <w:lang w:eastAsia="en-AU"/>
        </w:rPr>
        <w:t>him to plummet to his death.</w:t>
      </w:r>
    </w:p>
    <w:p w:rsidR="006E2B1C" w:rsidRDefault="006E2B1C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</w:p>
    <w:p w:rsidR="006E2B1C" w:rsidRDefault="006E2B1C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  <w:r w:rsidRPr="002B6F7E">
        <w:rPr>
          <w:spacing w:val="10"/>
          <w:lang w:eastAsia="en-AU"/>
        </w:rPr>
        <w:t xml:space="preserve">In </w:t>
      </w:r>
      <w:r w:rsidRPr="004F59DC">
        <w:rPr>
          <w:i/>
          <w:spacing w:val="10"/>
          <w:lang w:eastAsia="en-AU"/>
        </w:rPr>
        <w:t>Ten Canoes</w:t>
      </w:r>
      <w:r w:rsidRPr="002B6F7E">
        <w:rPr>
          <w:spacing w:val="10"/>
          <w:lang w:eastAsia="en-AU"/>
        </w:rPr>
        <w:t xml:space="preserve"> the lifestyle and sense of identity in the Aboriginal populace of Arnhem Land is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>represented in a healthy and unlimited way, the familiarity of the narration inferring the ability to be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 xml:space="preserve">equally connected to the rightful ways of Aboriginal ancestry and the modern world. 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>However the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>difficulty in doing this for the Aboriginal youth of Australia and the effects of white culture on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 xml:space="preserve">Aboriginal identity is shown in </w:t>
      </w:r>
      <w:r w:rsidRPr="005F6131">
        <w:rPr>
          <w:i/>
          <w:spacing w:val="10"/>
          <w:szCs w:val="18"/>
          <w:lang w:eastAsia="en-AU"/>
        </w:rPr>
        <w:t>Yolngu Boy</w:t>
      </w:r>
      <w:r w:rsidRPr="002B6F7E">
        <w:rPr>
          <w:spacing w:val="10"/>
          <w:szCs w:val="18"/>
          <w:lang w:eastAsia="en-AU"/>
        </w:rPr>
        <w:t xml:space="preserve"> </w:t>
      </w:r>
      <w:r w:rsidRPr="002B6F7E">
        <w:rPr>
          <w:spacing w:val="10"/>
          <w:lang w:eastAsia="en-AU"/>
        </w:rPr>
        <w:t>where the journey to manhood between both influences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 xml:space="preserve">is shown as an arduous but fruitful journey for </w:t>
      </w:r>
      <w:proofErr w:type="spellStart"/>
      <w:r w:rsidRPr="002B6F7E">
        <w:rPr>
          <w:spacing w:val="10"/>
          <w:lang w:eastAsia="en-AU"/>
        </w:rPr>
        <w:t>Lorrpu</w:t>
      </w:r>
      <w:proofErr w:type="spellEnd"/>
      <w:r w:rsidRPr="002B6F7E">
        <w:rPr>
          <w:spacing w:val="10"/>
          <w:lang w:eastAsia="en-AU"/>
        </w:rPr>
        <w:t xml:space="preserve"> and </w:t>
      </w:r>
      <w:proofErr w:type="spellStart"/>
      <w:r w:rsidRPr="002B6F7E">
        <w:rPr>
          <w:spacing w:val="10"/>
          <w:lang w:eastAsia="en-AU"/>
        </w:rPr>
        <w:t>Milika</w:t>
      </w:r>
      <w:proofErr w:type="spellEnd"/>
      <w:r w:rsidRPr="002B6F7E">
        <w:rPr>
          <w:spacing w:val="10"/>
          <w:lang w:eastAsia="en-AU"/>
        </w:rPr>
        <w:t xml:space="preserve"> as well as a tragedy and great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 xml:space="preserve">sadness for those such as </w:t>
      </w:r>
      <w:proofErr w:type="spellStart"/>
      <w:r w:rsidRPr="002B6F7E">
        <w:rPr>
          <w:spacing w:val="10"/>
          <w:lang w:eastAsia="en-AU"/>
        </w:rPr>
        <w:t>Botj</w:t>
      </w:r>
      <w:proofErr w:type="spellEnd"/>
      <w:r w:rsidRPr="002B6F7E">
        <w:rPr>
          <w:spacing w:val="10"/>
          <w:lang w:eastAsia="en-AU"/>
        </w:rPr>
        <w:t xml:space="preserve">. 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 xml:space="preserve">There is no doubt </w:t>
      </w:r>
      <w:r w:rsidRPr="002B6F7E">
        <w:rPr>
          <w:spacing w:val="10"/>
          <w:lang w:eastAsia="en-AU"/>
        </w:rPr>
        <w:lastRenderedPageBreak/>
        <w:t xml:space="preserve">that </w:t>
      </w:r>
      <w:proofErr w:type="spellStart"/>
      <w:r w:rsidRPr="002B6F7E">
        <w:rPr>
          <w:spacing w:val="10"/>
          <w:lang w:eastAsia="en-AU"/>
        </w:rPr>
        <w:t>colonisation</w:t>
      </w:r>
      <w:proofErr w:type="spellEnd"/>
      <w:r w:rsidRPr="002B6F7E">
        <w:rPr>
          <w:spacing w:val="10"/>
          <w:lang w:eastAsia="en-AU"/>
        </w:rPr>
        <w:t xml:space="preserve"> brought many changes to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>Aboriginal life and identity, it calls for a balance between two contrasting cultures which, in many</w:t>
      </w:r>
      <w:r>
        <w:rPr>
          <w:spacing w:val="10"/>
          <w:lang w:eastAsia="en-AU"/>
        </w:rPr>
        <w:t xml:space="preserve"> </w:t>
      </w:r>
      <w:r w:rsidRPr="002B6F7E">
        <w:rPr>
          <w:spacing w:val="10"/>
          <w:lang w:eastAsia="en-AU"/>
        </w:rPr>
        <w:t>ways, abhor each other and cause confusion rather than the emergence of a unique identity</w:t>
      </w:r>
      <w:r>
        <w:rPr>
          <w:spacing w:val="10"/>
          <w:lang w:eastAsia="en-AU"/>
        </w:rPr>
        <w:t>.</w:t>
      </w:r>
    </w:p>
    <w:p w:rsidR="006E2B1C" w:rsidRPr="002B6F7E" w:rsidRDefault="006E2B1C" w:rsidP="006E2B1C">
      <w:pPr>
        <w:pStyle w:val="SMBodyText"/>
        <w:tabs>
          <w:tab w:val="left" w:pos="709"/>
        </w:tabs>
        <w:spacing w:line="276" w:lineRule="auto"/>
        <w:jc w:val="both"/>
        <w:rPr>
          <w:spacing w:val="10"/>
          <w:lang w:eastAsia="en-AU"/>
        </w:rPr>
      </w:pPr>
    </w:p>
    <w:p w:rsidR="006E2B1C" w:rsidRDefault="006E2B1C" w:rsidP="006E2B1C">
      <w:pPr>
        <w:pStyle w:val="SMBodyText"/>
        <w:tabs>
          <w:tab w:val="left" w:pos="709"/>
        </w:tabs>
        <w:rPr>
          <w:b/>
          <w:spacing w:val="10"/>
          <w:lang w:eastAsia="en-AU"/>
        </w:rPr>
      </w:pPr>
      <w:r w:rsidRPr="004F59DC">
        <w:rPr>
          <w:b/>
          <w:spacing w:val="10"/>
          <w:lang w:eastAsia="en-AU"/>
        </w:rPr>
        <w:t>Bibliography</w:t>
      </w:r>
    </w:p>
    <w:p w:rsidR="006E2B1C" w:rsidRPr="004F59DC" w:rsidRDefault="006E2B1C" w:rsidP="006E2B1C">
      <w:pPr>
        <w:pStyle w:val="SMBodyText"/>
        <w:tabs>
          <w:tab w:val="left" w:pos="709"/>
        </w:tabs>
        <w:rPr>
          <w:b/>
          <w:spacing w:val="10"/>
          <w:lang w:eastAsia="en-AU"/>
        </w:rPr>
      </w:pPr>
    </w:p>
    <w:p w:rsidR="006E2B1C" w:rsidRPr="004F59DC" w:rsidRDefault="006E2B1C" w:rsidP="006E2B1C">
      <w:pPr>
        <w:pStyle w:val="SMBodyText"/>
        <w:tabs>
          <w:tab w:val="left" w:pos="709"/>
        </w:tabs>
        <w:rPr>
          <w:spacing w:val="10"/>
          <w:lang w:eastAsia="en-AU"/>
        </w:rPr>
      </w:pPr>
      <w:r w:rsidRPr="004F59DC">
        <w:rPr>
          <w:i/>
          <w:spacing w:val="10"/>
          <w:lang w:eastAsia="en-AU"/>
        </w:rPr>
        <w:t>Yolngu Boy</w:t>
      </w:r>
      <w:r w:rsidRPr="004F59DC">
        <w:rPr>
          <w:spacing w:val="10"/>
          <w:lang w:eastAsia="en-AU"/>
        </w:rPr>
        <w:t>, Australian Children's Television Foundation 2000-2009,</w:t>
      </w:r>
    </w:p>
    <w:p w:rsidR="006E2B1C" w:rsidRDefault="006B2FF2" w:rsidP="006E2B1C">
      <w:pPr>
        <w:pStyle w:val="SMBodyText"/>
        <w:tabs>
          <w:tab w:val="left" w:pos="709"/>
        </w:tabs>
        <w:rPr>
          <w:spacing w:val="10"/>
          <w:lang w:eastAsia="en-AU"/>
        </w:rPr>
      </w:pPr>
      <w:hyperlink r:id="rId8" w:history="1">
        <w:r w:rsidR="006E2B1C" w:rsidRPr="00425907">
          <w:rPr>
            <w:rStyle w:val="Hyperlink"/>
            <w:spacing w:val="10"/>
            <w:lang w:eastAsia="en-AU"/>
          </w:rPr>
          <w:t>http://www.yolnguboy.com!directory!htm!frameset3.htm</w:t>
        </w:r>
      </w:hyperlink>
      <w:r w:rsidR="006E2B1C">
        <w:rPr>
          <w:spacing w:val="10"/>
          <w:lang w:eastAsia="en-AU"/>
        </w:rPr>
        <w:t xml:space="preserve">, </w:t>
      </w:r>
      <w:r w:rsidR="006E2B1C" w:rsidRPr="004F59DC">
        <w:rPr>
          <w:spacing w:val="10"/>
          <w:lang w:eastAsia="en-AU"/>
        </w:rPr>
        <w:t>accessed 7 April 2012.</w:t>
      </w:r>
    </w:p>
    <w:p w:rsidR="006E2B1C" w:rsidRPr="004F59DC" w:rsidRDefault="006E2B1C" w:rsidP="006E2B1C">
      <w:pPr>
        <w:pStyle w:val="SMBodyText"/>
        <w:tabs>
          <w:tab w:val="left" w:pos="709"/>
        </w:tabs>
        <w:rPr>
          <w:spacing w:val="10"/>
          <w:sz w:val="4"/>
          <w:szCs w:val="4"/>
          <w:lang w:eastAsia="en-AU"/>
        </w:rPr>
      </w:pPr>
    </w:p>
    <w:p w:rsidR="006E2B1C" w:rsidRDefault="006E2B1C" w:rsidP="006E2B1C">
      <w:pPr>
        <w:pStyle w:val="SMBodyText"/>
        <w:tabs>
          <w:tab w:val="left" w:pos="709"/>
        </w:tabs>
        <w:rPr>
          <w:spacing w:val="10"/>
          <w:lang w:eastAsia="en-AU"/>
        </w:rPr>
      </w:pPr>
      <w:r w:rsidRPr="004F59DC">
        <w:rPr>
          <w:spacing w:val="10"/>
          <w:lang w:eastAsia="en-AU"/>
        </w:rPr>
        <w:t xml:space="preserve">Wikipedia, the free </w:t>
      </w:r>
      <w:proofErr w:type="spellStart"/>
      <w:r w:rsidRPr="004F59DC">
        <w:rPr>
          <w:spacing w:val="10"/>
          <w:lang w:eastAsia="en-AU"/>
        </w:rPr>
        <w:t>encyclopaedia</w:t>
      </w:r>
      <w:proofErr w:type="spellEnd"/>
      <w:r w:rsidRPr="004F59DC">
        <w:rPr>
          <w:spacing w:val="10"/>
          <w:lang w:eastAsia="en-AU"/>
        </w:rPr>
        <w:t xml:space="preserve">, </w:t>
      </w:r>
      <w:r w:rsidRPr="004F59DC">
        <w:rPr>
          <w:i/>
          <w:spacing w:val="10"/>
          <w:lang w:eastAsia="en-AU"/>
        </w:rPr>
        <w:t>Ten Canoes</w:t>
      </w:r>
      <w:r w:rsidRPr="004F59DC">
        <w:rPr>
          <w:spacing w:val="10"/>
          <w:lang w:eastAsia="en-AU"/>
        </w:rPr>
        <w:t>, 2006-201</w:t>
      </w:r>
      <w:r>
        <w:rPr>
          <w:spacing w:val="10"/>
          <w:lang w:eastAsia="en-AU"/>
        </w:rPr>
        <w:t xml:space="preserve">2, </w:t>
      </w:r>
      <w:hyperlink r:id="rId9" w:history="1">
        <w:r w:rsidRPr="00425907">
          <w:rPr>
            <w:rStyle w:val="Hyperlink"/>
            <w:spacing w:val="10"/>
            <w:lang w:eastAsia="en-AU"/>
          </w:rPr>
          <w:t>http://en.wikipedia.org/wiki/TenCanoes</w:t>
        </w:r>
      </w:hyperlink>
      <w:r w:rsidRPr="004F59DC">
        <w:rPr>
          <w:spacing w:val="10"/>
          <w:lang w:eastAsia="en-AU"/>
        </w:rPr>
        <w:t>, accessed 7 April 2012.</w:t>
      </w:r>
    </w:p>
    <w:p w:rsidR="006E2B1C" w:rsidRPr="004F59DC" w:rsidRDefault="006E2B1C" w:rsidP="006E2B1C">
      <w:pPr>
        <w:pStyle w:val="SMBodyText"/>
        <w:tabs>
          <w:tab w:val="left" w:pos="709"/>
        </w:tabs>
        <w:rPr>
          <w:spacing w:val="10"/>
          <w:lang w:eastAsia="en-AU"/>
        </w:rPr>
      </w:pPr>
    </w:p>
    <w:p w:rsidR="006E2B1C" w:rsidRPr="004F59DC" w:rsidRDefault="006E2B1C" w:rsidP="006E2B1C">
      <w:pPr>
        <w:pStyle w:val="SMBodyText"/>
        <w:tabs>
          <w:tab w:val="left" w:pos="709"/>
        </w:tabs>
        <w:rPr>
          <w:spacing w:val="10"/>
          <w:lang w:eastAsia="en-AU"/>
        </w:rPr>
      </w:pPr>
      <w:bookmarkStart w:id="0" w:name="_GoBack"/>
      <w:r w:rsidRPr="004F59DC">
        <w:rPr>
          <w:i/>
          <w:spacing w:val="10"/>
          <w:lang w:eastAsia="en-AU"/>
        </w:rPr>
        <w:t>Ten Canoes</w:t>
      </w:r>
      <w:r w:rsidRPr="004F59DC">
        <w:rPr>
          <w:spacing w:val="10"/>
          <w:lang w:eastAsia="en-AU"/>
        </w:rPr>
        <w:t>, Murdoch Education 2006,</w:t>
      </w:r>
    </w:p>
    <w:bookmarkEnd w:id="0"/>
    <w:p w:rsidR="006E2B1C" w:rsidRPr="002B6F7E" w:rsidRDefault="006B2FF2" w:rsidP="006E2B1C">
      <w:pPr>
        <w:pStyle w:val="SMBodyText"/>
        <w:tabs>
          <w:tab w:val="left" w:pos="709"/>
        </w:tabs>
        <w:rPr>
          <w:spacing w:val="10"/>
          <w:lang w:eastAsia="en-AU"/>
        </w:rPr>
      </w:pPr>
      <w:r>
        <w:fldChar w:fldCharType="begin"/>
      </w:r>
      <w:r>
        <w:instrText xml:space="preserve"> HYPERLINK "http://wwwmcc.murdoch.edu.au/ReadingRoom/film/dbase/2007/ten.html" </w:instrText>
      </w:r>
      <w:r>
        <w:fldChar w:fldCharType="separate"/>
      </w:r>
      <w:r w:rsidR="006E2B1C" w:rsidRPr="00425907">
        <w:rPr>
          <w:rStyle w:val="Hyperlink"/>
          <w:spacing w:val="10"/>
          <w:lang w:eastAsia="en-AU"/>
        </w:rPr>
        <w:t>http://wwwmcc.murdoch.edu.au/ReadingRoom/film/dbase/2007/ten.html</w:t>
      </w:r>
      <w:r>
        <w:rPr>
          <w:rStyle w:val="Hyperlink"/>
          <w:spacing w:val="10"/>
          <w:lang w:eastAsia="en-AU"/>
        </w:rPr>
        <w:fldChar w:fldCharType="end"/>
      </w:r>
      <w:r w:rsidR="006E2B1C">
        <w:rPr>
          <w:spacing w:val="10"/>
          <w:lang w:eastAsia="en-AU"/>
        </w:rPr>
        <w:t xml:space="preserve">, </w:t>
      </w:r>
      <w:r w:rsidR="006E2B1C" w:rsidRPr="004F59DC">
        <w:rPr>
          <w:spacing w:val="10"/>
          <w:lang w:eastAsia="en-AU"/>
        </w:rPr>
        <w:t>accessed 7 April 2012.</w:t>
      </w:r>
    </w:p>
    <w:p w:rsidR="006E2B1C" w:rsidRDefault="006E2B1C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386D8" wp14:editId="3848E675">
                <wp:simplePos x="0" y="0"/>
                <wp:positionH relativeFrom="column">
                  <wp:posOffset>-93980</wp:posOffset>
                </wp:positionH>
                <wp:positionV relativeFrom="paragraph">
                  <wp:posOffset>15875</wp:posOffset>
                </wp:positionV>
                <wp:extent cx="5753735" cy="3580130"/>
                <wp:effectExtent l="0" t="0" r="18415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5801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5" w:rsidRPr="00597D9B" w:rsidRDefault="00FC3BA5">
                            <w:pPr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b/>
                                <w:szCs w:val="22"/>
                              </w:rPr>
                              <w:t>Additional Comments:</w:t>
                            </w:r>
                          </w:p>
                          <w:p w:rsidR="00FC3BA5" w:rsidRPr="00597D9B" w:rsidRDefault="00FC3BA5" w:rsidP="00751840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This is an A+ grade example.</w:t>
                            </w:r>
                          </w:p>
                          <w:p w:rsidR="00FC3BA5" w:rsidRPr="00597D9B" w:rsidRDefault="00FC3BA5" w:rsidP="00751840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 xml:space="preserve">According to the website </w:t>
                            </w:r>
                            <w:hyperlink r:id="rId10" w:history="1">
                              <w:r w:rsidRPr="00597D9B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http://www.australia.gov.au/about-australia/australian-story/indigenous-film</w:t>
                              </w:r>
                            </w:hyperlink>
                            <w:r w:rsidRPr="00597D9B">
                              <w:rPr>
                                <w:rFonts w:cs="Arial"/>
                                <w:szCs w:val="22"/>
                              </w:rPr>
                              <w:t xml:space="preserve">, </w:t>
                            </w:r>
                            <w:r w:rsidRPr="00597D9B">
                              <w:rPr>
                                <w:rFonts w:cs="Arial"/>
                                <w:i/>
                                <w:szCs w:val="22"/>
                              </w:rPr>
                              <w:t>“Indigenous film either portrays Indigenous people, issues and stories or is film made by Indigenous Australians.”</w:t>
                            </w:r>
                            <w:r w:rsidRPr="00597D9B">
                              <w:rPr>
                                <w:rFonts w:cs="Arial"/>
                                <w:szCs w:val="22"/>
                              </w:rPr>
                              <w:t xml:space="preserve">  While the both films chosen for the task have non-Indigenous directors, they are acknowledged as examples of Aboriginal arts.</w:t>
                            </w: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Within the parameters of the task, the student demonstrates a comprehensive knowledge and well-informed understanding of a range of Aboriginal viewpoints on culture, land and identity with their use of evidence from the selected films.</w:t>
                            </w: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The student has provided an insightful and well-informed analysis of social points of view in relation to culture and identity through their discussion of the chosen films.</w:t>
                            </w: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The student is able to communicate their knowledge and understanding and their analysis and evaluation in an insightful, focused and structured way.</w:t>
                            </w: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 xml:space="preserve">Student clearly makes links between the two films within their discussion through the use of phrases such as </w:t>
                            </w:r>
                            <w:r w:rsidRPr="00597D9B">
                              <w:rPr>
                                <w:rFonts w:cs="Arial"/>
                                <w:i/>
                                <w:szCs w:val="22"/>
                              </w:rPr>
                              <w:t>“In comparison…”, “…element of connection…”, “…contrasts between</w:t>
                            </w: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…</w:t>
                            </w:r>
                            <w:r w:rsidRPr="00597D9B">
                              <w:rPr>
                                <w:rFonts w:cs="Arial"/>
                                <w:i/>
                                <w:szCs w:val="22"/>
                              </w:rPr>
                              <w:t>”</w:t>
                            </w:r>
                            <w:r w:rsidRPr="00597D9B">
                              <w:rPr>
                                <w:rFonts w:cs="Arial"/>
                                <w:szCs w:val="22"/>
                              </w:rPr>
                              <w:t xml:space="preserve">  As a result the essay is analytical and not narrative in style.</w:t>
                            </w:r>
                          </w:p>
                          <w:p w:rsidR="00FC3BA5" w:rsidRPr="00597D9B" w:rsidRDefault="00FC3BA5" w:rsidP="00FC3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cs="Arial"/>
                                <w:szCs w:val="22"/>
                              </w:rPr>
                            </w:pPr>
                            <w:r w:rsidRPr="00597D9B">
                              <w:rPr>
                                <w:rFonts w:cs="Arial"/>
                                <w:szCs w:val="22"/>
                              </w:rPr>
                              <w:t>Perceptive and appropriate use of evidence which could have been enhanced through the specific acknowledgement of quotes from the films used within the discussion.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4pt;margin-top:1.25pt;width:453.05pt;height:28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" fillcolor="yellow">
                <v:textbox>
                  <w:txbxContent>
                    <w:p w:rsidR="00FC3BA5" w:rsidRPr="00597D9B" w:rsidRDefault="00FC3BA5">
                      <w:pPr>
                        <w:rPr>
                          <w:rFonts w:cs="Arial"/>
                          <w:b/>
                          <w:szCs w:val="22"/>
                        </w:rPr>
                      </w:pPr>
                      <w:r w:rsidRPr="00597D9B">
                        <w:rPr>
                          <w:rFonts w:cs="Arial"/>
                          <w:b/>
                          <w:szCs w:val="22"/>
                        </w:rPr>
                        <w:t>Additional Comments:</w:t>
                      </w:r>
                    </w:p>
                    <w:p w:rsidR="00FC3BA5" w:rsidRPr="00597D9B" w:rsidRDefault="00FC3BA5" w:rsidP="00751840">
                      <w:pPr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>This is an A+ grade example.</w:t>
                      </w:r>
                    </w:p>
                    <w:p w:rsidR="00FC3BA5" w:rsidRPr="00597D9B" w:rsidRDefault="00FC3BA5" w:rsidP="00751840">
                      <w:pPr>
                        <w:rPr>
                          <w:rFonts w:cs="Arial"/>
                          <w:szCs w:val="22"/>
                        </w:rPr>
                      </w:pP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 xml:space="preserve">According to the website </w:t>
                      </w:r>
                      <w:hyperlink r:id="rId11" w:history="1">
                        <w:r w:rsidRPr="00597D9B">
                          <w:rPr>
                            <w:rStyle w:val="Hyperlink"/>
                            <w:rFonts w:cs="Arial"/>
                            <w:szCs w:val="22"/>
                          </w:rPr>
                          <w:t>http://www.australia.gov.au/about-australia/australian-story/indigenous-film</w:t>
                        </w:r>
                      </w:hyperlink>
                      <w:r w:rsidRPr="00597D9B">
                        <w:rPr>
                          <w:rFonts w:cs="Arial"/>
                          <w:szCs w:val="22"/>
                        </w:rPr>
                        <w:t xml:space="preserve">, </w:t>
                      </w:r>
                      <w:r w:rsidRPr="00597D9B">
                        <w:rPr>
                          <w:rFonts w:cs="Arial"/>
                          <w:i/>
                          <w:szCs w:val="22"/>
                        </w:rPr>
                        <w:t>“Indigenous film either portrays Indigenous people, issues and stories or is film made by Indigenous Australians.”</w:t>
                      </w:r>
                      <w:r w:rsidRPr="00597D9B">
                        <w:rPr>
                          <w:rFonts w:cs="Arial"/>
                          <w:szCs w:val="22"/>
                        </w:rPr>
                        <w:t xml:space="preserve">  While the both films chosen for the task have non-Indigenous directors, they are acknowledged as examples of Aboriginal arts.</w:t>
                      </w: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>Within the parameters of the task, the student demonstrates a comprehensive knowledge and well-informed understanding of a range of Aboriginal viewpoints on culture, land and identity with their use of evidence from the selected films.</w:t>
                      </w: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>The student has provided an insightful and well-informed analysis of social points of view in relation to culture and identity through their discussion of the chosen films.</w:t>
                      </w: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>The student is able to communicate their knowledge and understanding and their analysis and evaluation in an insightful, focused and structured way.</w:t>
                      </w: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 xml:space="preserve">Student clearly makes links between the two films within their discussion through the use of phrases such as </w:t>
                      </w:r>
                      <w:r w:rsidRPr="00597D9B">
                        <w:rPr>
                          <w:rFonts w:cs="Arial"/>
                          <w:i/>
                          <w:szCs w:val="22"/>
                        </w:rPr>
                        <w:t>“In comparison…”, “…element of connection…”, “…contrasts between</w:t>
                      </w:r>
                      <w:r w:rsidRPr="00597D9B">
                        <w:rPr>
                          <w:rFonts w:cs="Arial"/>
                          <w:szCs w:val="22"/>
                        </w:rPr>
                        <w:t>…</w:t>
                      </w:r>
                      <w:r w:rsidRPr="00597D9B">
                        <w:rPr>
                          <w:rFonts w:cs="Arial"/>
                          <w:i/>
                          <w:szCs w:val="22"/>
                        </w:rPr>
                        <w:t>”</w:t>
                      </w:r>
                      <w:r w:rsidRPr="00597D9B">
                        <w:rPr>
                          <w:rFonts w:cs="Arial"/>
                          <w:szCs w:val="22"/>
                        </w:rPr>
                        <w:t xml:space="preserve">  As a result the essay is analytical and not narrative in style.</w:t>
                      </w:r>
                    </w:p>
                    <w:p w:rsidR="00FC3BA5" w:rsidRPr="00597D9B" w:rsidRDefault="00FC3BA5" w:rsidP="00FC3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cs="Arial"/>
                          <w:szCs w:val="22"/>
                        </w:rPr>
                      </w:pPr>
                      <w:r w:rsidRPr="00597D9B">
                        <w:rPr>
                          <w:rFonts w:cs="Arial"/>
                          <w:szCs w:val="22"/>
                        </w:rPr>
                        <w:t>Perceptive and appropriate use of evidence which could have been enhanced through the specific acknowledgement of quotes from the films used within the discussion.</w:t>
                      </w:r>
                    </w:p>
                  </w:txbxContent>
                </v:textbox>
              </v:shape>
            </w:pict>
          </mc:Fallback>
        </mc:AlternateContent>
      </w:r>
    </w:p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Default="00FC3BA5" w:rsidP="00E23A13"/>
    <w:p w:rsidR="00FC3BA5" w:rsidRPr="001A6ACD" w:rsidRDefault="001A6ACD" w:rsidP="00E23A13">
      <w:pPr>
        <w:rPr>
          <w:rFonts w:ascii="Arial Narrow" w:hAnsi="Arial Narrow"/>
          <w:b/>
          <w:sz w:val="28"/>
        </w:rPr>
      </w:pPr>
      <w:r w:rsidRPr="001A6ACD">
        <w:rPr>
          <w:rFonts w:ascii="Arial Narrow" w:hAnsi="Arial Narrow"/>
          <w:b/>
          <w:sz w:val="28"/>
        </w:rPr>
        <w:t>Performance Standards for Stage 2 Aboriginal Studies</w:t>
      </w:r>
    </w:p>
    <w:p w:rsidR="00FC3BA5" w:rsidRDefault="00FC3BA5" w:rsidP="00E23A13"/>
    <w:tbl>
      <w:tblPr>
        <w:tblW w:w="0" w:type="auto"/>
        <w:jc w:val="center"/>
        <w:tblInd w:w="1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4"/>
        <w:gridCol w:w="2480"/>
        <w:gridCol w:w="1784"/>
        <w:gridCol w:w="1900"/>
        <w:gridCol w:w="2257"/>
      </w:tblGrid>
      <w:tr w:rsidR="00FC3BA5" w:rsidRPr="00A86ADE" w:rsidTr="00FC3BA5">
        <w:trPr>
          <w:cantSplit/>
          <w:tblHeader/>
          <w:jc w:val="center"/>
        </w:trPr>
        <w:tc>
          <w:tcPr>
            <w:tcW w:w="344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/>
        </w:tc>
        <w:tc>
          <w:tcPr>
            <w:tcW w:w="2480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Head1"/>
            </w:pPr>
            <w:r w:rsidRPr="00A86ADE">
              <w:t>Knowledge and Understanding</w:t>
            </w:r>
          </w:p>
        </w:tc>
        <w:tc>
          <w:tcPr>
            <w:tcW w:w="1784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Head1"/>
            </w:pPr>
            <w:r w:rsidRPr="00A86ADE">
              <w:t>Analysis and Evaluation</w:t>
            </w:r>
          </w:p>
        </w:tc>
        <w:tc>
          <w:tcPr>
            <w:tcW w:w="1900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Head1"/>
            </w:pPr>
            <w:r w:rsidRPr="00A86ADE">
              <w:t xml:space="preserve">Reflection </w:t>
            </w:r>
          </w:p>
        </w:tc>
        <w:tc>
          <w:tcPr>
            <w:tcW w:w="2257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Head1"/>
            </w:pPr>
            <w:r w:rsidRPr="00A86ADE">
              <w:t>Communication</w:t>
            </w:r>
          </w:p>
        </w:tc>
      </w:tr>
      <w:tr w:rsidR="00FC3BA5" w:rsidRPr="004F59DC" w:rsidTr="00FC3BA5">
        <w:trPr>
          <w:cantSplit/>
          <w:jc w:val="center"/>
        </w:trPr>
        <w:tc>
          <w:tcPr>
            <w:tcW w:w="344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Letters"/>
            </w:pPr>
            <w:r w:rsidRPr="00A86ADE">
              <w:t>A</w:t>
            </w:r>
          </w:p>
        </w:tc>
        <w:tc>
          <w:tcPr>
            <w:tcW w:w="2480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Comprehensive knowledge and well-informed understanding of Aboriginal histories and achievements.</w:t>
            </w:r>
          </w:p>
          <w:p w:rsidR="00FC3BA5" w:rsidRPr="00951CC8" w:rsidRDefault="00FC3BA5" w:rsidP="00BB25AD">
            <w:pPr>
              <w:pStyle w:val="SOFinalPerformanceTableText"/>
              <w:rPr>
                <w:highlight w:val="yellow"/>
              </w:rPr>
            </w:pPr>
            <w:r w:rsidRPr="00951CC8">
              <w:rPr>
                <w:highlight w:val="yellow"/>
              </w:rPr>
              <w:t>Comprehensive knowledge and well-informed understanding of a range of Aboriginal viewpoints on culture, land, identity, and/or preferred futures.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color w:val="A6A6A6" w:themeColor="background1" w:themeShade="A6"/>
              </w:rPr>
              <w:t>Perceptive knowledge of forms and effects of, and/or ways to counter, racism.</w:t>
            </w:r>
          </w:p>
        </w:tc>
        <w:tc>
          <w:tcPr>
            <w:tcW w:w="1784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000000" w:themeColor="text1"/>
              </w:rPr>
            </w:pPr>
            <w:r w:rsidRPr="00951CC8">
              <w:rPr>
                <w:color w:val="000000" w:themeColor="text1"/>
                <w:highlight w:val="yellow"/>
              </w:rPr>
              <w:t>Insightful and well-informed analysis and evaluation of social and political points of view presented through Aboriginal arts and/or literature.</w:t>
            </w:r>
            <w:r w:rsidRPr="00951CC8">
              <w:rPr>
                <w:color w:val="000000" w:themeColor="text1"/>
              </w:rPr>
              <w:t xml:space="preserve"> </w:t>
            </w:r>
          </w:p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Perceptive and critical analysis of a contemporary issue of significance to Aboriginal people.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Insightful and thorough reflection on the student’s own learning about intercultural communication and understanding from a range of sources.</w:t>
            </w:r>
          </w:p>
        </w:tc>
        <w:tc>
          <w:tcPr>
            <w:tcW w:w="2257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highlight w:val="yellow"/>
              </w:rPr>
            </w:pPr>
            <w:r w:rsidRPr="00951CC8">
              <w:rPr>
                <w:highlight w:val="yellow"/>
              </w:rPr>
              <w:t>Insightful, focused, and structured communication of informed ideas for different purposes.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highlight w:val="yellow"/>
              </w:rPr>
              <w:t>Perceptive and appropriate use of evidence and detailed acknowledgment of a range of sources.</w:t>
            </w:r>
          </w:p>
        </w:tc>
      </w:tr>
      <w:tr w:rsidR="00FC3BA5" w:rsidRPr="002E1976" w:rsidTr="00FC3BA5">
        <w:trPr>
          <w:cantSplit/>
          <w:jc w:val="center"/>
        </w:trPr>
        <w:tc>
          <w:tcPr>
            <w:tcW w:w="344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Letters"/>
            </w:pPr>
            <w:r w:rsidRPr="00A86ADE">
              <w:t>B</w:t>
            </w:r>
          </w:p>
        </w:tc>
        <w:tc>
          <w:tcPr>
            <w:tcW w:w="248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Detailed knowledge and well-informed understanding of Aboriginal histories and achievements.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Well-considered knowledge and informed understanding of a range of Aboriginal viewpoints on culture, land, identity, and/or preferred futures.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color w:val="A6A6A6" w:themeColor="background1" w:themeShade="A6"/>
              </w:rPr>
              <w:t>Well-considered knowledge of forms and effects of, and/or ways to counter, racism.</w:t>
            </w:r>
          </w:p>
        </w:tc>
        <w:tc>
          <w:tcPr>
            <w:tcW w:w="178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000000" w:themeColor="text1"/>
              </w:rPr>
              <w:t>Well-informed analysis and evaluation of social and political points of view presented through Aboriginal arts and/or literature</w:t>
            </w:r>
            <w:r w:rsidRPr="00951CC8">
              <w:rPr>
                <w:color w:val="A6A6A6" w:themeColor="background1" w:themeShade="A6"/>
              </w:rPr>
              <w:t>.</w:t>
            </w:r>
          </w:p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Critical analysis of a contemporary issue of significance to Aboriginal people.</w:t>
            </w:r>
          </w:p>
        </w:tc>
        <w:tc>
          <w:tcPr>
            <w:tcW w:w="190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Well-considered reflection on the student’s own learning about intercultural communication and understanding from different sources.</w:t>
            </w:r>
          </w:p>
        </w:tc>
        <w:tc>
          <w:tcPr>
            <w:tcW w:w="225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</w:pPr>
            <w:r w:rsidRPr="00951CC8">
              <w:t>Well-considered and mostly clear and structured communication of informed ideas for different purposes.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Detailed and appropriate use of evidence and acknowledgment of different sources.</w:t>
            </w:r>
          </w:p>
        </w:tc>
      </w:tr>
      <w:tr w:rsidR="00FC3BA5" w:rsidRPr="002E1976" w:rsidTr="00FC3BA5">
        <w:trPr>
          <w:cantSplit/>
          <w:jc w:val="center"/>
        </w:trPr>
        <w:tc>
          <w:tcPr>
            <w:tcW w:w="344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Letters"/>
            </w:pPr>
            <w:r w:rsidRPr="00A86ADE">
              <w:t>C</w:t>
            </w:r>
          </w:p>
        </w:tc>
        <w:tc>
          <w:tcPr>
            <w:tcW w:w="2480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Appropriate knowledge and informed understanding of Aboriginal histories and achievements.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Appropriate knowledge and informed understanding of different Aboriginal viewpoints on culture, land, identity, and/or preferred futures.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color w:val="A6A6A6" w:themeColor="background1" w:themeShade="A6"/>
              </w:rPr>
              <w:t>Generally considered knowledge of forms and effects of, and/or ways to counter, racism.</w:t>
            </w:r>
          </w:p>
        </w:tc>
        <w:tc>
          <w:tcPr>
            <w:tcW w:w="178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000000" w:themeColor="text1"/>
              </w:rPr>
            </w:pPr>
            <w:r w:rsidRPr="00951CC8">
              <w:rPr>
                <w:color w:val="000000" w:themeColor="text1"/>
              </w:rPr>
              <w:t>Informed analysis and evaluation of social and political points of view presented through Aboriginal arts and/or literature, tending towards description.</w:t>
            </w:r>
          </w:p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Some critical analysis of a contemporary issue of significance to Aboriginal people.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Some considered reflection on the student’s own learning about intercultural communication and understanding from different sources.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</w:pPr>
            <w:r w:rsidRPr="00951CC8">
              <w:t>Appropriate and generally clear and structured communication of informed ideas for different purposes.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Generally clear and appropriate use of evidence and acknowledgment of different sources.</w:t>
            </w:r>
          </w:p>
        </w:tc>
      </w:tr>
      <w:tr w:rsidR="00FC3BA5" w:rsidRPr="002E1976" w:rsidTr="00FC3BA5">
        <w:trPr>
          <w:cantSplit/>
          <w:jc w:val="center"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Letters"/>
            </w:pPr>
            <w:r w:rsidRPr="00A86ADE">
              <w:t>D</w:t>
            </w:r>
          </w:p>
        </w:tc>
        <w:tc>
          <w:tcPr>
            <w:tcW w:w="248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Superficial knowledge and some consideration of Aboriginal histories and achievements.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Identification and some recognition of one or more Aboriginal viewpoints on culture, land, identity, and/or preferred futures.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color w:val="A6A6A6" w:themeColor="background1" w:themeShade="A6"/>
              </w:rPr>
              <w:t>Awareness and some basic knowledge of one or more forms and/or effects of racism.</w:t>
            </w:r>
          </w:p>
        </w:tc>
        <w:tc>
          <w:tcPr>
            <w:tcW w:w="178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000000" w:themeColor="text1"/>
              </w:rPr>
            </w:pPr>
            <w:r w:rsidRPr="00951CC8">
              <w:rPr>
                <w:color w:val="000000" w:themeColor="text1"/>
              </w:rPr>
              <w:t>Some consideration and description of one or more social or political points of view presented through Aboriginal arts and/or literature.</w:t>
            </w:r>
          </w:p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Description, with an element of attempted analysis, of a contemporary issue of significance to Aboriginal people.</w:t>
            </w:r>
          </w:p>
        </w:tc>
        <w:tc>
          <w:tcPr>
            <w:tcW w:w="190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Some consideration of the student’s own learning about intercultural communication and understanding from one or more sources.</w:t>
            </w:r>
          </w:p>
        </w:tc>
        <w:tc>
          <w:tcPr>
            <w:tcW w:w="225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</w:pPr>
            <w:r w:rsidRPr="00951CC8">
              <w:t>Some communication of ideas.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Some reference to evidence and acknowledgment of sources.</w:t>
            </w:r>
          </w:p>
        </w:tc>
      </w:tr>
      <w:tr w:rsidR="00FC3BA5" w:rsidRPr="002E1976" w:rsidTr="00FC3BA5">
        <w:trPr>
          <w:cantSplit/>
          <w:jc w:val="center"/>
        </w:trPr>
        <w:tc>
          <w:tcPr>
            <w:tcW w:w="344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C3BA5" w:rsidRPr="00A86ADE" w:rsidRDefault="00FC3BA5" w:rsidP="00BB25AD">
            <w:pPr>
              <w:pStyle w:val="SOFinalPerformanceTableLetters"/>
            </w:pPr>
            <w:r w:rsidRPr="00A86ADE">
              <w:t>E</w:t>
            </w:r>
          </w:p>
        </w:tc>
        <w:tc>
          <w:tcPr>
            <w:tcW w:w="248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Emerging awareness of Aboriginal histories and achievements.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Emerging awareness of one or more Aboriginal viewpoints on culture, land, identity, and/or preferred futures.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rPr>
                <w:color w:val="A6A6A6" w:themeColor="background1" w:themeShade="A6"/>
              </w:rPr>
              <w:t>Identification of a form or effect of racism.</w:t>
            </w:r>
          </w:p>
        </w:tc>
        <w:tc>
          <w:tcPr>
            <w:tcW w:w="178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000000" w:themeColor="text1"/>
              </w:rPr>
            </w:pPr>
            <w:r w:rsidRPr="00951CC8">
              <w:rPr>
                <w:color w:val="000000" w:themeColor="text1"/>
              </w:rPr>
              <w:t>Identification of one or more social or political points of view presented through Aboriginal arts or literature.</w:t>
            </w:r>
          </w:p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Identification of a contemporary issue of significance to Aboriginal people.</w:t>
            </w:r>
          </w:p>
        </w:tc>
        <w:tc>
          <w:tcPr>
            <w:tcW w:w="190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  <w:rPr>
                <w:color w:val="A6A6A6" w:themeColor="background1" w:themeShade="A6"/>
              </w:rPr>
            </w:pPr>
            <w:r w:rsidRPr="00951CC8">
              <w:rPr>
                <w:color w:val="A6A6A6" w:themeColor="background1" w:themeShade="A6"/>
              </w:rPr>
              <w:t>Attempted description of the student’s own learning about an aspect of intercultural communication and understanding from one source.</w:t>
            </w:r>
          </w:p>
        </w:tc>
        <w:tc>
          <w:tcPr>
            <w:tcW w:w="225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C3BA5" w:rsidRPr="00951CC8" w:rsidRDefault="00FC3BA5" w:rsidP="00BB25AD">
            <w:pPr>
              <w:pStyle w:val="SOFinalPerformanceTableText"/>
            </w:pPr>
            <w:r w:rsidRPr="00951CC8">
              <w:t>Attempted communication of one or more ideas.</w:t>
            </w:r>
          </w:p>
          <w:p w:rsidR="00FC3BA5" w:rsidRPr="00951CC8" w:rsidRDefault="00FC3BA5" w:rsidP="00BB25AD">
            <w:pPr>
              <w:pStyle w:val="SOFinalPerformanceTableText"/>
            </w:pPr>
            <w:r w:rsidRPr="00951CC8">
              <w:t>Limited use of any evidence or acknowledgment of sources.</w:t>
            </w:r>
          </w:p>
        </w:tc>
      </w:tr>
    </w:tbl>
    <w:p w:rsidR="006E2B1C" w:rsidRDefault="006E2B1C" w:rsidP="00E23A13"/>
    <w:p w:rsidR="00FC3BA5" w:rsidRPr="00E23A13" w:rsidRDefault="00FC3BA5" w:rsidP="00E23A13"/>
    <w:sectPr w:rsidR="00FC3BA5" w:rsidRPr="00E23A13" w:rsidSect="00597D9B">
      <w:footerReference w:type="default" r:id="rId12"/>
      <w:pgSz w:w="11906" w:h="16838" w:code="237"/>
      <w:pgMar w:top="284" w:right="2268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F2" w:rsidRDefault="006B2FF2" w:rsidP="00B42821">
      <w:r>
        <w:separator/>
      </w:r>
    </w:p>
  </w:endnote>
  <w:endnote w:type="continuationSeparator" w:id="0">
    <w:p w:rsidR="006B2FF2" w:rsidRDefault="006B2FF2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4" w:rsidRDefault="00787E14" w:rsidP="00721670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D97F40">
      <w:rPr>
        <w:noProof/>
      </w:rPr>
      <w:t>3</w:t>
    </w:r>
    <w:r w:rsidRPr="00721670">
      <w:fldChar w:fldCharType="end"/>
    </w:r>
    <w:r w:rsidRPr="00721670">
      <w:t xml:space="preserve"> of </w:t>
    </w:r>
    <w:fldSimple w:instr=" NUMPAGES  \* MERGEFORMAT ">
      <w:r w:rsidR="00D97F40">
        <w:rPr>
          <w:noProof/>
        </w:rPr>
        <w:t>4</w:t>
      </w:r>
    </w:fldSimple>
    <w:r>
      <w:tab/>
      <w:t>Stage 2 Aboriginal Studies student exemplar</w:t>
    </w:r>
  </w:p>
  <w:p w:rsidR="00787E14" w:rsidRDefault="00787E14" w:rsidP="00721670">
    <w:pPr>
      <w:pStyle w:val="SMFooter"/>
    </w:pPr>
    <w:r>
      <w:tab/>
      <w:t>Ref: A439291 (</w:t>
    </w:r>
    <w:r w:rsidR="001A6ACD">
      <w:t>May</w:t>
    </w:r>
    <w:r>
      <w:t xml:space="preserve"> 2015)</w:t>
    </w:r>
  </w:p>
  <w:p w:rsidR="00787E14" w:rsidRPr="00102175" w:rsidRDefault="00787E14" w:rsidP="00450AA4">
    <w:pPr>
      <w:pStyle w:val="SMFooter"/>
    </w:pPr>
    <w:r>
      <w:tab/>
      <w:t xml:space="preserve">© </w:t>
    </w:r>
    <w:r w:rsidRPr="00505442">
      <w:t>SA</w:t>
    </w:r>
    <w:r>
      <w:t>CE Board of South Australia 2015</w:t>
    </w:r>
  </w:p>
  <w:p w:rsidR="00721670" w:rsidRPr="00102175" w:rsidRDefault="00721670" w:rsidP="00806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F2" w:rsidRDefault="006B2FF2" w:rsidP="00B42821">
      <w:r>
        <w:separator/>
      </w:r>
    </w:p>
  </w:footnote>
  <w:footnote w:type="continuationSeparator" w:id="0">
    <w:p w:rsidR="006B2FF2" w:rsidRDefault="006B2FF2" w:rsidP="00B42821">
      <w:r>
        <w:continuationSeparator/>
      </w:r>
    </w:p>
  </w:footnote>
  <w:footnote w:id="1">
    <w:p w:rsidR="006E2B1C" w:rsidRDefault="006E2B1C" w:rsidP="006E2B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B6F7E">
        <w:rPr>
          <w:spacing w:val="10"/>
          <w:lang w:eastAsia="en-AU"/>
        </w:rPr>
        <w:t>TheFreeDictionary</w:t>
      </w:r>
      <w:proofErr w:type="spellEnd"/>
    </w:p>
  </w:footnote>
  <w:footnote w:id="2">
    <w:p w:rsidR="006E2B1C" w:rsidRDefault="006E2B1C" w:rsidP="006E2B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6F7E">
        <w:rPr>
          <w:spacing w:val="10"/>
          <w:lang w:eastAsia="en-AU"/>
        </w:rPr>
        <w:t xml:space="preserve">Rolf de </w:t>
      </w:r>
      <w:proofErr w:type="spellStart"/>
      <w:r w:rsidRPr="002B6F7E">
        <w:rPr>
          <w:spacing w:val="10"/>
          <w:lang w:eastAsia="en-AU"/>
        </w:rPr>
        <w:t>Heer</w:t>
      </w:r>
      <w:proofErr w:type="spellEnd"/>
      <w:r w:rsidRPr="002B6F7E">
        <w:rPr>
          <w:spacing w:val="10"/>
          <w:lang w:eastAsia="en-AU"/>
        </w:rPr>
        <w:t xml:space="preserve"> and Peter </w:t>
      </w:r>
      <w:proofErr w:type="spellStart"/>
      <w:r w:rsidRPr="002B6F7E">
        <w:rPr>
          <w:spacing w:val="10"/>
          <w:lang w:eastAsia="en-AU"/>
        </w:rPr>
        <w:t>Djigirr</w:t>
      </w:r>
      <w:proofErr w:type="spellEnd"/>
    </w:p>
  </w:footnote>
  <w:footnote w:id="3">
    <w:p w:rsidR="006E2B1C" w:rsidRDefault="006E2B1C" w:rsidP="006E2B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6F7E">
        <w:rPr>
          <w:spacing w:val="10"/>
          <w:lang w:eastAsia="en-AU"/>
        </w:rPr>
        <w:t>Directed by Stephen Johnson</w:t>
      </w:r>
    </w:p>
  </w:footnote>
  <w:footnote w:id="4">
    <w:p w:rsidR="006E2B1C" w:rsidRDefault="006E2B1C" w:rsidP="006E2B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B6F7E">
        <w:rPr>
          <w:spacing w:val="10"/>
          <w:lang w:eastAsia="en-AU"/>
        </w:rPr>
        <w:t>TheFreeDictionary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C0327"/>
    <w:multiLevelType w:val="hybridMultilevel"/>
    <w:tmpl w:val="2DFA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1C"/>
    <w:rsid w:val="0000356C"/>
    <w:rsid w:val="00007E9F"/>
    <w:rsid w:val="00012237"/>
    <w:rsid w:val="00022AFE"/>
    <w:rsid w:val="00023281"/>
    <w:rsid w:val="00027283"/>
    <w:rsid w:val="00030998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A39F0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53DF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A6ACD"/>
    <w:rsid w:val="001B2580"/>
    <w:rsid w:val="001C6E5D"/>
    <w:rsid w:val="001D043C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4A6F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A7317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04ADD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97D9B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2FF2"/>
    <w:rsid w:val="006B3F96"/>
    <w:rsid w:val="006C3764"/>
    <w:rsid w:val="006C3BD5"/>
    <w:rsid w:val="006C41B6"/>
    <w:rsid w:val="006C7B01"/>
    <w:rsid w:val="006E2B1C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7E14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1CC8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991"/>
    <w:rsid w:val="00BF4C6B"/>
    <w:rsid w:val="00C13E31"/>
    <w:rsid w:val="00C23732"/>
    <w:rsid w:val="00C317FF"/>
    <w:rsid w:val="00C450CD"/>
    <w:rsid w:val="00C5241C"/>
    <w:rsid w:val="00C54E71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CF6B8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7F40"/>
    <w:rsid w:val="00DA0D90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05B"/>
    <w:rsid w:val="00FB072F"/>
    <w:rsid w:val="00FB10C1"/>
    <w:rsid w:val="00FB263E"/>
    <w:rsid w:val="00FB4107"/>
    <w:rsid w:val="00FB518B"/>
    <w:rsid w:val="00FB7ACB"/>
    <w:rsid w:val="00FC3BA5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A1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FootnoteText">
    <w:name w:val="footnote text"/>
    <w:basedOn w:val="Normal"/>
    <w:link w:val="FootnoteTextChar"/>
    <w:rsid w:val="006E2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2B1C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6E2B1C"/>
    <w:rPr>
      <w:vertAlign w:val="superscript"/>
    </w:rPr>
  </w:style>
  <w:style w:type="character" w:styleId="Hyperlink">
    <w:name w:val="Hyperlink"/>
    <w:basedOn w:val="DefaultParagraphFont"/>
    <w:rsid w:val="006E2B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B1C"/>
    <w:pPr>
      <w:ind w:left="720"/>
      <w:contextualSpacing/>
    </w:pPr>
  </w:style>
  <w:style w:type="paragraph" w:customStyle="1" w:styleId="SOFinalPerformanceTableHead1">
    <w:name w:val="SO Final Performance Table Head 1"/>
    <w:rsid w:val="00FC3BA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C3BA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C3BA5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A1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FootnoteText">
    <w:name w:val="footnote text"/>
    <w:basedOn w:val="Normal"/>
    <w:link w:val="FootnoteTextChar"/>
    <w:rsid w:val="006E2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2B1C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6E2B1C"/>
    <w:rPr>
      <w:vertAlign w:val="superscript"/>
    </w:rPr>
  </w:style>
  <w:style w:type="character" w:styleId="Hyperlink">
    <w:name w:val="Hyperlink"/>
    <w:basedOn w:val="DefaultParagraphFont"/>
    <w:rsid w:val="006E2B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B1C"/>
    <w:pPr>
      <w:ind w:left="720"/>
      <w:contextualSpacing/>
    </w:pPr>
  </w:style>
  <w:style w:type="paragraph" w:customStyle="1" w:styleId="SOFinalPerformanceTableHead1">
    <w:name w:val="SO Final Performance Table Head 1"/>
    <w:rsid w:val="00FC3BA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C3BA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C3BA5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lnguboy.com!directory!htm!frameset3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stralia.gov.au/about-australia/australian-story/indigenous-fil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ustralia.gov.au/about-australia/australian-story/indigenous-fil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TenCano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pler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182</TotalTime>
  <Pages>4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 </cp:lastModifiedBy>
  <cp:revision>14</cp:revision>
  <cp:lastPrinted>2015-06-02T03:25:00Z</cp:lastPrinted>
  <dcterms:created xsi:type="dcterms:W3CDTF">2015-03-20T02:40:00Z</dcterms:created>
  <dcterms:modified xsi:type="dcterms:W3CDTF">2015-06-02T03:25:00Z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A273536</vt:lpwstr>
  </property>
  <property fmtid="{D5CDD505-2E9C-101B-9397-08002B2CF9AE}" pid="3" name="Objective-Title">
    <vt:lpwstr>Template - Task</vt:lpwstr>
  </property>
  <property fmtid="{D5CDD505-2E9C-101B-9397-08002B2CF9AE}" pid="4" name="Objective-Comment">
    <vt:lpwstr/>
  </property>
  <property fmtid="{D5CDD505-2E9C-101B-9397-08002B2CF9AE}" pid="5" name="Objective-CreationStamp">
    <vt:filetime>2013-05-14T03:36:44Z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2013-05-14T04:02:19Z</vt:filetime>
  </property>
  <property fmtid="{D5CDD505-2E9C-101B-9397-08002B2CF9AE}" pid="10" name="Objective-Owner">
    <vt:lpwstr>Alina Pietrzyk</vt:lpwstr>
  </property>
  <property fmtid="{D5CDD505-2E9C-101B-9397-08002B2CF9AE}" pid="11" name="Objective-Path">
    <vt:lpwstr>Objective Global Folder:SACE Support Materials:SACE Support Materials Administration:Proformas:Proformas 2012:</vt:lpwstr>
  </property>
  <property fmtid="{D5CDD505-2E9C-101B-9397-08002B2CF9AE}" pid="12" name="Objective-Parent">
    <vt:lpwstr>Proformas 2012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0.5</vt:lpwstr>
  </property>
  <property fmtid="{D5CDD505-2E9C-101B-9397-08002B2CF9AE}" pid="15" name="Objective-VersionNumber">
    <vt:i4>5</vt:i4>
  </property>
  <property fmtid="{D5CDD505-2E9C-101B-9397-08002B2CF9AE}" pid="16" name="Objective-VersionComment">
    <vt:lpwstr/>
  </property>
  <property fmtid="{D5CDD505-2E9C-101B-9397-08002B2CF9AE}" pid="17" name="Objective-FileNumber">
    <vt:lpwstr>qA8881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