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54FB35C6" wp14:editId="444ADCF3">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236E72" w:rsidP="001A0F23">
      <w:pPr>
        <w:pStyle w:val="FrontPageHeading"/>
        <w:spacing w:before="4200"/>
      </w:pPr>
      <w:r>
        <w:t>Psychology</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236E72">
      <w:pPr>
        <w:pStyle w:val="Heading1"/>
        <w:rPr>
          <w:lang w:val="en-US"/>
        </w:rPr>
      </w:pPr>
      <w:r>
        <w:lastRenderedPageBreak/>
        <w:t>Psychology</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rsidP="00FA01B3">
      <w:pPr>
        <w:pStyle w:val="Heading2"/>
      </w:pPr>
      <w:r>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D41243" w:rsidRPr="00012027" w:rsidRDefault="000E5227" w:rsidP="00D41243">
      <w:pPr>
        <w:pStyle w:val="BodyText1"/>
      </w:pPr>
      <w:r>
        <w:t xml:space="preserve">The enrolments in Stage 2 Psychology have remained consistently high with 2482 students in 2014. Six students were also assessed for a 10-credit subject. </w:t>
      </w:r>
      <w:r w:rsidR="00D41243">
        <w:t xml:space="preserve">Overall achievement in the subject remained consistent with previous years: </w:t>
      </w:r>
      <w:r w:rsidR="00D41243" w:rsidRPr="00057BA7">
        <w:t>approximately</w:t>
      </w:r>
      <w:r w:rsidR="009414F8" w:rsidRPr="00057BA7">
        <w:t xml:space="preserve"> </w:t>
      </w:r>
      <w:r w:rsidR="00D41243" w:rsidRPr="00057BA7">
        <w:t>2</w:t>
      </w:r>
      <w:r w:rsidR="00057BA7" w:rsidRPr="00057BA7">
        <w:t>4</w:t>
      </w:r>
      <w:r w:rsidR="00D41243" w:rsidRPr="00057BA7">
        <w:t>% in the A band, 4</w:t>
      </w:r>
      <w:r w:rsidR="00057BA7" w:rsidRPr="00057BA7">
        <w:t>4</w:t>
      </w:r>
      <w:r w:rsidR="00D41243" w:rsidRPr="00057BA7">
        <w:t>% in the B band, and 2</w:t>
      </w:r>
      <w:r w:rsidR="00057BA7" w:rsidRPr="00057BA7">
        <w:t>6</w:t>
      </w:r>
      <w:r w:rsidR="00D41243" w:rsidRPr="00057BA7">
        <w:t>% in the C band.</w:t>
      </w:r>
    </w:p>
    <w:p w:rsidR="001A0F23" w:rsidRDefault="00532959" w:rsidP="00FA01B3">
      <w:pPr>
        <w:pStyle w:val="Heading2"/>
      </w:pPr>
      <w:r>
        <w:t>School Assessment</w:t>
      </w:r>
    </w:p>
    <w:p w:rsidR="00057BA7" w:rsidRDefault="00057BA7" w:rsidP="00BA50B9">
      <w:pPr>
        <w:pStyle w:val="BodyText1"/>
      </w:pPr>
      <w:r>
        <w:t>The two school assessment types were centrally moderated according to the SACE Board’s</w:t>
      </w:r>
      <w:r w:rsidR="00BA50B9">
        <w:t xml:space="preserve"> </w:t>
      </w:r>
      <w:r>
        <w:t>requirements, policies, and procedures.</w:t>
      </w:r>
    </w:p>
    <w:p w:rsidR="001A0F23" w:rsidRDefault="001A0F23" w:rsidP="001A0F23">
      <w:pPr>
        <w:pStyle w:val="AssessmentTypeHeading"/>
      </w:pPr>
      <w:r w:rsidRPr="00CD32DE">
        <w:t>Assessment Type 1: In</w:t>
      </w:r>
      <w:r w:rsidR="00BA50B9">
        <w:t xml:space="preserve">vestigations </w:t>
      </w:r>
      <w:r w:rsidR="001320CD">
        <w:t>F</w:t>
      </w:r>
      <w:r w:rsidR="00BA50B9">
        <w:t>olio</w:t>
      </w:r>
    </w:p>
    <w:p w:rsidR="002559E1" w:rsidRDefault="003C7360" w:rsidP="002559E1">
      <w:pPr>
        <w:pStyle w:val="BodyText1"/>
        <w:rPr>
          <w:szCs w:val="22"/>
        </w:rPr>
      </w:pPr>
      <w:r>
        <w:t xml:space="preserve">The investigations provide students with the opportunity to experience </w:t>
      </w:r>
      <w:r w:rsidR="002559E1">
        <w:t>evidence-based research. Teachers in their early years of delivering this subject should seek the support and guidance of experienced teachers in the community</w:t>
      </w:r>
      <w:r w:rsidR="00AF741B">
        <w:t xml:space="preserve"> to ensure that they are </w:t>
      </w:r>
      <w:r w:rsidR="00AF741B">
        <w:rPr>
          <w:szCs w:val="22"/>
        </w:rPr>
        <w:t>following the guidelines and procedures in a way that allows their students to demonstrate their skills of investigation, analysis, and evaluation.</w:t>
      </w:r>
    </w:p>
    <w:p w:rsidR="00804EA1" w:rsidRDefault="00804EA1" w:rsidP="002559E1">
      <w:pPr>
        <w:pStyle w:val="BodyText1"/>
      </w:pPr>
      <w:r>
        <w:rPr>
          <w:szCs w:val="22"/>
        </w:rPr>
        <w:t>Overall teachers showed excellent understanding of the performance standards and their application to student evidence in this assessment type. This resulted in only a limited number of moderation adjustments. The following comments are to support and further refine understanding.</w:t>
      </w:r>
    </w:p>
    <w:p w:rsidR="0080667F" w:rsidRDefault="0080667F" w:rsidP="002559E1">
      <w:pPr>
        <w:pStyle w:val="BodyText1"/>
      </w:pPr>
      <w:r>
        <w:t>Although quantitative data is clearly preferred by most students, reports based on qualitative data were generally of a higher quality.</w:t>
      </w:r>
      <w:r w:rsidR="00297E69">
        <w:t xml:space="preserve"> </w:t>
      </w:r>
      <w:r>
        <w:t xml:space="preserve">This option is important to offer to students </w:t>
      </w:r>
      <w:r w:rsidR="00A47AFA">
        <w:t>who are less capable with</w:t>
      </w:r>
      <w:r>
        <w:t xml:space="preserve"> mathemat</w:t>
      </w:r>
      <w:r w:rsidR="00A47AFA">
        <w:t>ics and statistics.</w:t>
      </w:r>
      <w:r w:rsidR="00297E69">
        <w:t xml:space="preserve"> </w:t>
      </w:r>
      <w:r w:rsidR="00A47AFA">
        <w:t xml:space="preserve">Students with strong literacy skills show good </w:t>
      </w:r>
      <w:r w:rsidR="003C7360">
        <w:t xml:space="preserve">ability to communicate their </w:t>
      </w:r>
      <w:r w:rsidR="00A47AFA">
        <w:t>understanding in qualitative reports and generally</w:t>
      </w:r>
      <w:r w:rsidR="003C7360">
        <w:t xml:space="preserve"> achieve at</w:t>
      </w:r>
      <w:r w:rsidR="00A47AFA">
        <w:t xml:space="preserve"> a high level in the specific feature KU3.</w:t>
      </w:r>
    </w:p>
    <w:p w:rsidR="002559E1" w:rsidRDefault="00AF741B" w:rsidP="002559E1">
      <w:pPr>
        <w:pStyle w:val="BodyText1"/>
      </w:pPr>
      <w:r>
        <w:t>Moderators commented consistently on t</w:t>
      </w:r>
      <w:r w:rsidR="000E3E90">
        <w:t xml:space="preserve">hree major </w:t>
      </w:r>
      <w:r>
        <w:t>aspects</w:t>
      </w:r>
      <w:r w:rsidR="000E3E90">
        <w:t xml:space="preserve"> </w:t>
      </w:r>
      <w:r w:rsidR="004524B7">
        <w:t>of</w:t>
      </w:r>
      <w:r w:rsidR="000E3E90">
        <w:t xml:space="preserve"> the presentation of </w:t>
      </w:r>
      <w:r>
        <w:t xml:space="preserve">investigation </w:t>
      </w:r>
      <w:r w:rsidR="000E3E90">
        <w:t>reports.</w:t>
      </w:r>
    </w:p>
    <w:p w:rsidR="000E3E90" w:rsidRDefault="000E3E90" w:rsidP="002559E1">
      <w:pPr>
        <w:pStyle w:val="BodyText1"/>
      </w:pPr>
      <w:r>
        <w:t xml:space="preserve">Firstly, </w:t>
      </w:r>
      <w:r w:rsidR="008F433B">
        <w:t>s</w:t>
      </w:r>
      <w:r>
        <w:t xml:space="preserve">ome students proposed investigations which </w:t>
      </w:r>
      <w:r w:rsidR="008F433B">
        <w:t xml:space="preserve">were </w:t>
      </w:r>
      <w:r>
        <w:t xml:space="preserve">not </w:t>
      </w:r>
      <w:r w:rsidR="008F433B">
        <w:t xml:space="preserve">suitable </w:t>
      </w:r>
      <w:r>
        <w:t>given the data collected</w:t>
      </w:r>
      <w:r w:rsidR="000E5227">
        <w:t>.</w:t>
      </w:r>
      <w:r>
        <w:t xml:space="preserve"> </w:t>
      </w:r>
      <w:r w:rsidR="000E5227">
        <w:t>Some</w:t>
      </w:r>
      <w:r w:rsidR="00AF741B">
        <w:t xml:space="preserve"> </w:t>
      </w:r>
      <w:r>
        <w:t xml:space="preserve">used data </w:t>
      </w:r>
      <w:r w:rsidR="000E5227">
        <w:t xml:space="preserve">that </w:t>
      </w:r>
      <w:r>
        <w:t>did not match their hypothesis.</w:t>
      </w:r>
      <w:r w:rsidR="00297E69">
        <w:t xml:space="preserve"> </w:t>
      </w:r>
      <w:r>
        <w:t xml:space="preserve">Teachers are reminded that they are responsible for approval of research proposals before students </w:t>
      </w:r>
      <w:r w:rsidR="008F433B">
        <w:t xml:space="preserve">proceed with data </w:t>
      </w:r>
      <w:r>
        <w:t>analysis.</w:t>
      </w:r>
      <w:r w:rsidR="00297E69">
        <w:t xml:space="preserve"> </w:t>
      </w:r>
      <w:r>
        <w:t xml:space="preserve">This step </w:t>
      </w:r>
      <w:r w:rsidR="000E5227">
        <w:t xml:space="preserve">minimises the chance that </w:t>
      </w:r>
      <w:r>
        <w:t>students cannot support their hypothesis within the confines of the collected data.</w:t>
      </w:r>
    </w:p>
    <w:p w:rsidR="000E3E90" w:rsidRDefault="000E3E90" w:rsidP="002559E1">
      <w:pPr>
        <w:pStyle w:val="BodyText1"/>
      </w:pPr>
      <w:r>
        <w:lastRenderedPageBreak/>
        <w:t xml:space="preserve">Secondly, evaluation </w:t>
      </w:r>
      <w:r w:rsidR="008F433B">
        <w:t>should be specific to</w:t>
      </w:r>
      <w:r>
        <w:t xml:space="preserve"> the data </w:t>
      </w:r>
      <w:r w:rsidR="00AF741B">
        <w:t xml:space="preserve">that is </w:t>
      </w:r>
      <w:r>
        <w:t xml:space="preserve">collected, the sample </w:t>
      </w:r>
      <w:r w:rsidR="00AF741B">
        <w:t>used</w:t>
      </w:r>
      <w:r w:rsidR="001320CD">
        <w:t>,</w:t>
      </w:r>
      <w:r w:rsidR="00AF741B">
        <w:t xml:space="preserve"> </w:t>
      </w:r>
      <w:r>
        <w:t>and the investigation design.</w:t>
      </w:r>
      <w:r w:rsidR="00297E69">
        <w:t xml:space="preserve"> </w:t>
      </w:r>
      <w:r>
        <w:t>Many students focus only on the inherent flaws in the sample, without explicitly outlining how these flaws have affected their data</w:t>
      </w:r>
      <w:r w:rsidR="008F433B">
        <w:t xml:space="preserve"> or suggesting improvements that would minimise the effects of these flaws</w:t>
      </w:r>
      <w:r>
        <w:t>.</w:t>
      </w:r>
      <w:r w:rsidR="00297E69">
        <w:t xml:space="preserve"> </w:t>
      </w:r>
      <w:r>
        <w:t xml:space="preserve">Comments on the relative strengths and weaknesses of data collection and investigation design need to relate </w:t>
      </w:r>
      <w:r w:rsidR="002225B6">
        <w:t>directly to the research program under discussion.</w:t>
      </w:r>
      <w:r w:rsidR="00297E69">
        <w:t xml:space="preserve"> </w:t>
      </w:r>
      <w:r w:rsidR="002225B6">
        <w:t>General comments about the convenience</w:t>
      </w:r>
      <w:r w:rsidR="00AF741B">
        <w:t xml:space="preserve"> or ease of data collection do</w:t>
      </w:r>
      <w:r w:rsidR="002225B6">
        <w:t xml:space="preserve"> not demonstrate performance at the </w:t>
      </w:r>
      <w:r w:rsidR="00E7182F">
        <w:t xml:space="preserve">upper </w:t>
      </w:r>
      <w:r w:rsidR="002225B6">
        <w:t>level</w:t>
      </w:r>
      <w:r w:rsidR="00E7182F">
        <w:t>s</w:t>
      </w:r>
      <w:r w:rsidR="002225B6">
        <w:t xml:space="preserve"> </w:t>
      </w:r>
      <w:r w:rsidR="001320CD">
        <w:t>for the criterion of a</w:t>
      </w:r>
      <w:r w:rsidR="002225B6">
        <w:t xml:space="preserve">nalysis and </w:t>
      </w:r>
      <w:r w:rsidR="001320CD">
        <w:t>e</w:t>
      </w:r>
      <w:r w:rsidR="002225B6">
        <w:t>valuation</w:t>
      </w:r>
      <w:r w:rsidR="001320CD">
        <w:t>.</w:t>
      </w:r>
    </w:p>
    <w:p w:rsidR="002225B6" w:rsidRDefault="002225B6" w:rsidP="002559E1">
      <w:pPr>
        <w:pStyle w:val="BodyText1"/>
      </w:pPr>
      <w:r>
        <w:t>Thirdly, students should demonstrate their capacity for communication.</w:t>
      </w:r>
      <w:r w:rsidR="00297E69">
        <w:t xml:space="preserve"> </w:t>
      </w:r>
      <w:r>
        <w:t>In a report of this length, subheadings sh</w:t>
      </w:r>
      <w:r w:rsidR="00AF741B">
        <w:t>ould be kept to a minimum.</w:t>
      </w:r>
      <w:r w:rsidR="00297E69">
        <w:t xml:space="preserve"> </w:t>
      </w:r>
      <w:r w:rsidR="00AF741B">
        <w:t xml:space="preserve">It was noticeable </w:t>
      </w:r>
      <w:r>
        <w:t xml:space="preserve">that students who used multiple subheadings usually offered </w:t>
      </w:r>
      <w:r w:rsidR="00AF741B">
        <w:t xml:space="preserve">only </w:t>
      </w:r>
      <w:r>
        <w:t>one idea per heading therefore limiting their ability to show perceptive and thorough analytical skills.</w:t>
      </w:r>
      <w:r w:rsidR="00297E69">
        <w:t xml:space="preserve"> </w:t>
      </w:r>
      <w:r>
        <w:t xml:space="preserve">In addition, many students used commentary </w:t>
      </w:r>
      <w:r w:rsidR="00601B24">
        <w:t>on the sample u</w:t>
      </w:r>
      <w:r>
        <w:t>n</w:t>
      </w:r>
      <w:r w:rsidR="00601B24">
        <w:t>der</w:t>
      </w:r>
      <w:r>
        <w:t xml:space="preserve"> every subheading, thereby repeating themselves multiple times.</w:t>
      </w:r>
      <w:r w:rsidR="00297E69">
        <w:t xml:space="preserve"> </w:t>
      </w:r>
      <w:r>
        <w:t xml:space="preserve">If this was paired with a very general understanding of the effects of the sample, students could </w:t>
      </w:r>
      <w:r w:rsidR="001F7063">
        <w:t>usually</w:t>
      </w:r>
      <w:r>
        <w:t xml:space="preserve"> only </w:t>
      </w:r>
      <w:r w:rsidR="00AF741B">
        <w:t>provide evidence</w:t>
      </w:r>
      <w:r>
        <w:t xml:space="preserve"> in the C band for </w:t>
      </w:r>
      <w:r w:rsidR="001320CD">
        <w:t>a</w:t>
      </w:r>
      <w:r>
        <w:t xml:space="preserve">nalysis and </w:t>
      </w:r>
      <w:r w:rsidR="001320CD">
        <w:t>e</w:t>
      </w:r>
      <w:r>
        <w:t>valuation.</w:t>
      </w:r>
    </w:p>
    <w:p w:rsidR="002225B6" w:rsidRDefault="002225B6" w:rsidP="00DD5825">
      <w:pPr>
        <w:pStyle w:val="BodyText1"/>
      </w:pPr>
      <w:r>
        <w:t xml:space="preserve">To avoid these </w:t>
      </w:r>
      <w:r w:rsidR="00E7182F">
        <w:t>problems</w:t>
      </w:r>
      <w:r>
        <w:t xml:space="preserve">, teachers are advised to be strategic in their use of the drafting and/or checklist </w:t>
      </w:r>
      <w:r w:rsidRPr="00DD5825">
        <w:t>process</w:t>
      </w:r>
      <w:r w:rsidR="001F7063" w:rsidRPr="00DD5825">
        <w:t>es</w:t>
      </w:r>
      <w:r>
        <w:t>.</w:t>
      </w:r>
      <w:r w:rsidR="00297E69">
        <w:t xml:space="preserve"> </w:t>
      </w:r>
      <w:r>
        <w:t xml:space="preserve">A brief check of student proposals, then a further check of the data presentation </w:t>
      </w:r>
      <w:r w:rsidR="00AF741B">
        <w:t>is likely to</w:t>
      </w:r>
      <w:r>
        <w:t xml:space="preserve"> avoid </w:t>
      </w:r>
      <w:r w:rsidR="00AF741B">
        <w:t xml:space="preserve">students </w:t>
      </w:r>
      <w:r w:rsidR="00091E1D">
        <w:t>setting up</w:t>
      </w:r>
      <w:r>
        <w:t xml:space="preserve"> proposals that </w:t>
      </w:r>
      <w:r w:rsidR="00C23445">
        <w:t xml:space="preserve">are </w:t>
      </w:r>
      <w:r w:rsidR="00E7182F">
        <w:t xml:space="preserve">untenable </w:t>
      </w:r>
      <w:r w:rsidR="00C23445">
        <w:t>as an investigation</w:t>
      </w:r>
      <w:r>
        <w:t xml:space="preserve"> in the context of the data collected.</w:t>
      </w:r>
      <w:r w:rsidR="00297E69">
        <w:t xml:space="preserve"> </w:t>
      </w:r>
      <w:r>
        <w:t>Although students will need guidance in their disc</w:t>
      </w:r>
      <w:r w:rsidR="002E7A03">
        <w:t xml:space="preserve">ussion, teachers </w:t>
      </w:r>
      <w:r w:rsidR="001F7063">
        <w:t>should be aware</w:t>
      </w:r>
      <w:r>
        <w:t xml:space="preserve"> that strict templates an</w:t>
      </w:r>
      <w:r w:rsidR="002E7A03">
        <w:t>d</w:t>
      </w:r>
      <w:r>
        <w:t xml:space="preserve"> overuse of electronic review comments </w:t>
      </w:r>
      <w:r w:rsidR="00E7182F">
        <w:t xml:space="preserve">can </w:t>
      </w:r>
      <w:r>
        <w:t xml:space="preserve">lead to a lack of </w:t>
      </w:r>
      <w:r w:rsidR="002E7A03">
        <w:t>creativity in students’ reports.</w:t>
      </w:r>
      <w:r w:rsidR="00297E69">
        <w:t xml:space="preserve"> </w:t>
      </w:r>
      <w:r w:rsidR="00C23445">
        <w:t>By way of providing some kind of structure for their students, t</w:t>
      </w:r>
      <w:r w:rsidR="002E7A03">
        <w:t xml:space="preserve">eachers could pose questions such as </w:t>
      </w:r>
      <w:r w:rsidR="00E24324">
        <w:t>‘</w:t>
      </w:r>
      <w:r w:rsidR="002E7A03">
        <w:t xml:space="preserve">What are </w:t>
      </w:r>
      <w:r w:rsidR="00E24324">
        <w:t xml:space="preserve">you </w:t>
      </w:r>
      <w:r w:rsidR="002E7A03">
        <w:t>hoping to show using the data?</w:t>
      </w:r>
      <w:r w:rsidR="00E24324">
        <w:t>’</w:t>
      </w:r>
      <w:r w:rsidR="002E7A03">
        <w:t xml:space="preserve"> or </w:t>
      </w:r>
      <w:r w:rsidR="00E24324">
        <w:t>‘</w:t>
      </w:r>
      <w:r w:rsidR="002E7A03">
        <w:t>What will your data analysis look like when you</w:t>
      </w:r>
      <w:r w:rsidR="00E24324">
        <w:t xml:space="preserve"> are</w:t>
      </w:r>
      <w:r w:rsidR="002E7A03">
        <w:t xml:space="preserve"> finished?</w:t>
      </w:r>
      <w:r w:rsidR="004524B7">
        <w:t>’</w:t>
      </w:r>
      <w:r w:rsidR="00297E69">
        <w:t xml:space="preserve"> </w:t>
      </w:r>
      <w:r w:rsidR="002E7A03">
        <w:t>In the evaluation</w:t>
      </w:r>
      <w:r w:rsidR="00C23445">
        <w:t xml:space="preserve"> of the investigation</w:t>
      </w:r>
      <w:r w:rsidR="002E7A03">
        <w:t xml:space="preserve">, </w:t>
      </w:r>
      <w:r w:rsidR="00C23445">
        <w:t xml:space="preserve">teachers could </w:t>
      </w:r>
      <w:r w:rsidR="002E7A03">
        <w:t>ask students to consider the procedures used at the time of the data collection and how these might have specifically affected the data and in what direction.</w:t>
      </w:r>
    </w:p>
    <w:p w:rsidR="002225B6" w:rsidRDefault="0080667F" w:rsidP="002559E1">
      <w:pPr>
        <w:pStyle w:val="BodyText1"/>
      </w:pPr>
      <w:r>
        <w:t xml:space="preserve">Further to these three areas, </w:t>
      </w:r>
      <w:r w:rsidR="001B321B">
        <w:t xml:space="preserve">the quality of </w:t>
      </w:r>
      <w:r w:rsidR="00C23445">
        <w:t>evidence provided by</w:t>
      </w:r>
      <w:r>
        <w:t xml:space="preserve"> students could be </w:t>
      </w:r>
      <w:r w:rsidR="001B321B">
        <w:t xml:space="preserve">further </w:t>
      </w:r>
      <w:r>
        <w:t xml:space="preserve">improved by </w:t>
      </w:r>
      <w:r w:rsidR="00157737">
        <w:t>noting the</w:t>
      </w:r>
      <w:r>
        <w:t xml:space="preserve"> </w:t>
      </w:r>
      <w:r w:rsidR="00157737">
        <w:t>following:</w:t>
      </w:r>
    </w:p>
    <w:p w:rsidR="0080667F" w:rsidRPr="0080667F" w:rsidRDefault="0080667F" w:rsidP="00DD5825">
      <w:pPr>
        <w:pStyle w:val="BodyText1"/>
        <w:numPr>
          <w:ilvl w:val="0"/>
          <w:numId w:val="21"/>
        </w:numPr>
      </w:pPr>
      <w:r w:rsidRPr="0080667F">
        <w:t>Raw data should</w:t>
      </w:r>
      <w:r>
        <w:t xml:space="preserve"> </w:t>
      </w:r>
      <w:r w:rsidRPr="0080667F">
        <w:t>n</w:t>
      </w:r>
      <w:r>
        <w:t>o</w:t>
      </w:r>
      <w:r w:rsidRPr="0080667F">
        <w:t xml:space="preserve">t appear in the report. </w:t>
      </w:r>
      <w:r w:rsidR="00E24324">
        <w:t>Using raw data</w:t>
      </w:r>
      <w:r w:rsidR="00C23445">
        <w:t xml:space="preserve"> suggests that students do no</w:t>
      </w:r>
      <w:r w:rsidRPr="0080667F">
        <w:t>t understand the concept of statistics and the concept of central tendency. Using raw data disadvantages students as it is very difficult to formulate a conclusion from raw data.</w:t>
      </w:r>
    </w:p>
    <w:p w:rsidR="0080667F" w:rsidRPr="0080667F" w:rsidRDefault="0080667F" w:rsidP="00DD5825">
      <w:pPr>
        <w:pStyle w:val="BodyText1"/>
        <w:numPr>
          <w:ilvl w:val="0"/>
          <w:numId w:val="21"/>
        </w:numPr>
      </w:pPr>
      <w:r w:rsidRPr="0080667F">
        <w:t xml:space="preserve">To achieve at an A band for presentation of data </w:t>
      </w:r>
      <w:r w:rsidR="00C23445">
        <w:t>(</w:t>
      </w:r>
      <w:r w:rsidR="00E24324">
        <w:t xml:space="preserve">specific feature </w:t>
      </w:r>
      <w:r w:rsidR="00C23445">
        <w:t>I4)</w:t>
      </w:r>
      <w:r w:rsidRPr="0080667F">
        <w:t xml:space="preserve">, students </w:t>
      </w:r>
      <w:r w:rsidR="00C23445">
        <w:t>should</w:t>
      </w:r>
      <w:r w:rsidRPr="0080667F">
        <w:t xml:space="preserve"> ensure that they follow graphing conventions and use an appropriate scale</w:t>
      </w:r>
      <w:r w:rsidR="004A1A95" w:rsidRPr="004A1A95">
        <w:t xml:space="preserve"> </w:t>
      </w:r>
      <w:r w:rsidR="004A1A95" w:rsidRPr="0080667F">
        <w:t>when presenting quantitative data in a graph</w:t>
      </w:r>
      <w:r w:rsidRPr="0080667F">
        <w:t xml:space="preserve">. Students who use a </w:t>
      </w:r>
      <w:r w:rsidR="00E7182F">
        <w:t>truncated</w:t>
      </w:r>
      <w:r w:rsidR="00E7182F" w:rsidRPr="0080667F">
        <w:t xml:space="preserve"> </w:t>
      </w:r>
      <w:r w:rsidRPr="0080667F">
        <w:t>scale are often disadvantaged as they conclude that there is a clear result when in fact the score</w:t>
      </w:r>
      <w:r w:rsidR="001F7063">
        <w:t>s were very similar</w:t>
      </w:r>
      <w:r w:rsidR="00157737">
        <w:t>.</w:t>
      </w:r>
      <w:r w:rsidRPr="0080667F">
        <w:t xml:space="preserve"> This lead</w:t>
      </w:r>
      <w:r w:rsidR="00E7182F">
        <w:t>s</w:t>
      </w:r>
      <w:r w:rsidRPr="0080667F">
        <w:t xml:space="preserve"> students to making </w:t>
      </w:r>
      <w:r w:rsidR="00E7182F" w:rsidRPr="0080667F">
        <w:t>in</w:t>
      </w:r>
      <w:r w:rsidR="00E7182F">
        <w:t>correct</w:t>
      </w:r>
      <w:r w:rsidR="00E7182F" w:rsidRPr="0080667F">
        <w:t xml:space="preserve"> </w:t>
      </w:r>
      <w:r w:rsidRPr="0080667F">
        <w:t xml:space="preserve">conclusions about the data. Students are </w:t>
      </w:r>
      <w:r w:rsidR="004A1A95">
        <w:t xml:space="preserve">also </w:t>
      </w:r>
      <w:r w:rsidRPr="0080667F">
        <w:t xml:space="preserve">advised to take care with choosing an appropriate </w:t>
      </w:r>
      <w:r w:rsidR="00C23445">
        <w:t xml:space="preserve">type of </w:t>
      </w:r>
      <w:r w:rsidRPr="0080667F">
        <w:t>graph</w:t>
      </w:r>
      <w:r w:rsidR="00C23445">
        <w:t xml:space="preserve"> (e.g. bar, line)</w:t>
      </w:r>
      <w:r w:rsidRPr="0080667F">
        <w:t xml:space="preserve"> for the data that they are graphing.</w:t>
      </w:r>
    </w:p>
    <w:p w:rsidR="0080667F" w:rsidRPr="0080667F" w:rsidRDefault="0080667F" w:rsidP="00DD5825">
      <w:pPr>
        <w:pStyle w:val="BodyText1"/>
        <w:numPr>
          <w:ilvl w:val="0"/>
          <w:numId w:val="21"/>
        </w:numPr>
      </w:pPr>
      <w:r w:rsidRPr="0080667F">
        <w:t xml:space="preserve">Students should be careful using terms such as </w:t>
      </w:r>
      <w:r w:rsidR="00E24324">
        <w:t>‘</w:t>
      </w:r>
      <w:r w:rsidRPr="0080667F">
        <w:t>significant</w:t>
      </w:r>
      <w:r w:rsidR="00E24324">
        <w:t>’</w:t>
      </w:r>
      <w:r w:rsidRPr="0080667F">
        <w:t xml:space="preserve">, </w:t>
      </w:r>
      <w:r w:rsidR="00E24324">
        <w:t>‘</w:t>
      </w:r>
      <w:r w:rsidRPr="0080667F">
        <w:t>prove</w:t>
      </w:r>
      <w:r w:rsidR="00E24324">
        <w:t>’,</w:t>
      </w:r>
      <w:r w:rsidRPr="0080667F">
        <w:t xml:space="preserve"> and </w:t>
      </w:r>
      <w:r w:rsidR="005016A8">
        <w:t>‘</w:t>
      </w:r>
      <w:r w:rsidRPr="0080667F">
        <w:t>systematic errors</w:t>
      </w:r>
      <w:r w:rsidR="005016A8">
        <w:t>’</w:t>
      </w:r>
      <w:r w:rsidRPr="0080667F">
        <w:t xml:space="preserve">. These </w:t>
      </w:r>
      <w:r w:rsidR="005016A8">
        <w:t xml:space="preserve">terms </w:t>
      </w:r>
      <w:r w:rsidRPr="0080667F">
        <w:t xml:space="preserve">have very specific meanings within the field of </w:t>
      </w:r>
      <w:r w:rsidR="00E24324">
        <w:t>p</w:t>
      </w:r>
      <w:r w:rsidRPr="0080667F">
        <w:t xml:space="preserve">sychology and </w:t>
      </w:r>
      <w:r w:rsidR="00C23445">
        <w:t>by using the</w:t>
      </w:r>
      <w:r w:rsidR="00157737">
        <w:t>se terms</w:t>
      </w:r>
      <w:r w:rsidR="00C23445">
        <w:t xml:space="preserve"> inappropriately </w:t>
      </w:r>
      <w:r w:rsidRPr="0080667F">
        <w:t xml:space="preserve">students often </w:t>
      </w:r>
      <w:r w:rsidR="00C23445">
        <w:t xml:space="preserve">indicate that they </w:t>
      </w:r>
      <w:r w:rsidRPr="0080667F">
        <w:t>do</w:t>
      </w:r>
      <w:r w:rsidR="00C23445">
        <w:t xml:space="preserve"> no</w:t>
      </w:r>
      <w:r w:rsidR="00157737">
        <w:t>t fully understand them</w:t>
      </w:r>
      <w:r w:rsidRPr="0080667F">
        <w:t>.</w:t>
      </w:r>
    </w:p>
    <w:p w:rsidR="0080667F" w:rsidRPr="0080667F" w:rsidRDefault="00C23445" w:rsidP="00DD5825">
      <w:pPr>
        <w:pStyle w:val="BodyText1"/>
        <w:numPr>
          <w:ilvl w:val="0"/>
          <w:numId w:val="21"/>
        </w:numPr>
      </w:pPr>
      <w:r>
        <w:t>A</w:t>
      </w:r>
      <w:r w:rsidR="0080667F" w:rsidRPr="0080667F">
        <w:t xml:space="preserve"> long description of the method used to collect data</w:t>
      </w:r>
      <w:r>
        <w:t xml:space="preserve"> is unnecessary</w:t>
      </w:r>
      <w:r w:rsidR="0080667F" w:rsidRPr="0080667F">
        <w:t xml:space="preserve">. </w:t>
      </w:r>
      <w:r>
        <w:t>Such a description</w:t>
      </w:r>
      <w:r w:rsidR="0080667F" w:rsidRPr="0080667F">
        <w:t xml:space="preserve"> </w:t>
      </w:r>
      <w:r w:rsidR="001B321B">
        <w:t>could</w:t>
      </w:r>
      <w:r w:rsidR="0080667F" w:rsidRPr="0080667F">
        <w:t xml:space="preserve"> disadvantage students as they have used valuable word</w:t>
      </w:r>
      <w:r w:rsidR="005016A8">
        <w:t>-</w:t>
      </w:r>
      <w:r w:rsidR="0080667F" w:rsidRPr="0080667F">
        <w:t xml:space="preserve">count </w:t>
      </w:r>
      <w:r w:rsidR="0080667F" w:rsidRPr="0080667F">
        <w:lastRenderedPageBreak/>
        <w:t>on a method prescribed</w:t>
      </w:r>
      <w:r>
        <w:t xml:space="preserve"> </w:t>
      </w:r>
      <w:r w:rsidR="001B321B">
        <w:t xml:space="preserve">in the </w:t>
      </w:r>
      <w:r w:rsidR="00E7182F">
        <w:t>research program</w:t>
      </w:r>
      <w:r>
        <w:t xml:space="preserve"> </w:t>
      </w:r>
      <w:r w:rsidR="0069480D">
        <w:t>which could leave</w:t>
      </w:r>
      <w:r w:rsidR="000F74CE">
        <w:t xml:space="preserve"> insufficient words for enough</w:t>
      </w:r>
      <w:r w:rsidR="0080667F" w:rsidRPr="0080667F">
        <w:t xml:space="preserve"> detail in the evaluation section </w:t>
      </w:r>
      <w:r>
        <w:t>to</w:t>
      </w:r>
      <w:r w:rsidR="0080667F" w:rsidRPr="0080667F">
        <w:t xml:space="preserve"> gain a high </w:t>
      </w:r>
      <w:r w:rsidR="001F7063">
        <w:t>grade</w:t>
      </w:r>
      <w:r w:rsidR="0080667F" w:rsidRPr="0080667F">
        <w:t>.</w:t>
      </w:r>
    </w:p>
    <w:p w:rsidR="0080667F" w:rsidRPr="0080667F" w:rsidRDefault="000F74CE" w:rsidP="00DD5825">
      <w:pPr>
        <w:pStyle w:val="BodyText1"/>
        <w:numPr>
          <w:ilvl w:val="0"/>
          <w:numId w:val="21"/>
        </w:numPr>
      </w:pPr>
      <w:r w:rsidRPr="0080667F">
        <w:t xml:space="preserve">In general, students are advised not to use excessive statistics. </w:t>
      </w:r>
      <w:r w:rsidR="0080667F" w:rsidRPr="0080667F">
        <w:t xml:space="preserve">Students should </w:t>
      </w:r>
      <w:r w:rsidR="00C23445">
        <w:t>only use</w:t>
      </w:r>
      <w:r w:rsidR="0080667F" w:rsidRPr="0080667F">
        <w:t xml:space="preserve"> standard deviation </w:t>
      </w:r>
      <w:r w:rsidR="00C23445">
        <w:t>if</w:t>
      </w:r>
      <w:r w:rsidR="0080667F" w:rsidRPr="0080667F">
        <w:t xml:space="preserve"> they have a good understanding of it</w:t>
      </w:r>
      <w:r>
        <w:t xml:space="preserve"> and if it helps to describe their data</w:t>
      </w:r>
      <w:r w:rsidR="0080667F" w:rsidRPr="0080667F">
        <w:t xml:space="preserve">. </w:t>
      </w:r>
    </w:p>
    <w:p w:rsidR="002559E1" w:rsidRPr="0080667F" w:rsidRDefault="002559E1" w:rsidP="00DD5825">
      <w:pPr>
        <w:pStyle w:val="BodyText1"/>
        <w:numPr>
          <w:ilvl w:val="0"/>
          <w:numId w:val="21"/>
        </w:numPr>
      </w:pPr>
      <w:r w:rsidRPr="0080667F">
        <w:t>For the group investigation, teachers are advised to provide evidence of students’</w:t>
      </w:r>
      <w:r w:rsidR="0080667F" w:rsidRPr="0080667F">
        <w:t xml:space="preserve"> </w:t>
      </w:r>
      <w:r w:rsidRPr="0080667F">
        <w:t>collaboration</w:t>
      </w:r>
      <w:r w:rsidR="005016A8">
        <w:t>;</w:t>
      </w:r>
      <w:r w:rsidRPr="0080667F">
        <w:t xml:space="preserve"> for example, through the use of teacher observations, self-assessment, or peer</w:t>
      </w:r>
      <w:r w:rsidR="001F7063">
        <w:t xml:space="preserve"> assessment.</w:t>
      </w:r>
      <w:r w:rsidR="000F74CE">
        <w:t xml:space="preserve"> </w:t>
      </w:r>
      <w:r w:rsidR="00DB5B36">
        <w:t>Two exemplars of assessment sheets for specific feature A3 are available on the Psychology minisite of the SACE website.</w:t>
      </w:r>
    </w:p>
    <w:p w:rsidR="001A0F23" w:rsidRDefault="001A0F23" w:rsidP="004D6083">
      <w:pPr>
        <w:pStyle w:val="AssessmentTypeHeading"/>
        <w:spacing w:after="240"/>
      </w:pPr>
      <w:r w:rsidRPr="003C7581">
        <w:t xml:space="preserve">Assessment Type 2: </w:t>
      </w:r>
      <w:r w:rsidR="00483EB6">
        <w:t xml:space="preserve">Skills and </w:t>
      </w:r>
      <w:r w:rsidR="00E24324">
        <w:t>A</w:t>
      </w:r>
      <w:r w:rsidR="00483EB6">
        <w:t xml:space="preserve">pplications </w:t>
      </w:r>
      <w:r w:rsidR="00E24324">
        <w:t>T</w:t>
      </w:r>
      <w:r w:rsidR="00483EB6">
        <w:t>asks</w:t>
      </w:r>
    </w:p>
    <w:p w:rsidR="005F178E" w:rsidRDefault="004D6083" w:rsidP="00DD5825">
      <w:pPr>
        <w:pStyle w:val="BodyText1"/>
        <w:rPr>
          <w:b/>
        </w:rPr>
      </w:pPr>
      <w:r w:rsidRPr="005F178E">
        <w:t xml:space="preserve">The skills and applications tasks consisted mainly of tests and internal examinations, with one or two assignments. Most of the student evidence was written, although some produced oral and multimedia presentations. </w:t>
      </w:r>
      <w:r w:rsidR="00C934D4">
        <w:t xml:space="preserve">Once again as in the Investigations Folio, </w:t>
      </w:r>
      <w:r w:rsidR="00C934D4">
        <w:rPr>
          <w:szCs w:val="22"/>
        </w:rPr>
        <w:t xml:space="preserve">teachers showed excellent understanding of the performance standards and their application to student evidence. </w:t>
      </w:r>
      <w:r w:rsidR="005F178E" w:rsidRPr="004D6083">
        <w:t xml:space="preserve">The design of tasks </w:t>
      </w:r>
      <w:r w:rsidR="00C934D4">
        <w:t>did however cause some</w:t>
      </w:r>
      <w:r w:rsidR="005F178E" w:rsidRPr="004D6083">
        <w:t xml:space="preserve"> adjustment of grade levels</w:t>
      </w:r>
      <w:r w:rsidR="00C934D4">
        <w:t>. The following is for further advice.</w:t>
      </w:r>
    </w:p>
    <w:p w:rsidR="004D6083" w:rsidRPr="005F178E" w:rsidRDefault="004D6083" w:rsidP="00DD5825">
      <w:pPr>
        <w:pStyle w:val="BodyText1"/>
        <w:rPr>
          <w:b/>
        </w:rPr>
      </w:pPr>
      <w:r w:rsidRPr="005F178E">
        <w:t xml:space="preserve">Teachers </w:t>
      </w:r>
      <w:r w:rsidR="00C934D4">
        <w:t>should</w:t>
      </w:r>
      <w:r w:rsidR="00C934D4" w:rsidRPr="005F178E">
        <w:t xml:space="preserve"> </w:t>
      </w:r>
      <w:r w:rsidRPr="005F178E">
        <w:t xml:space="preserve">ensure that tasks allow students to demonstrate depth </w:t>
      </w:r>
      <w:r w:rsidR="009314BD">
        <w:t xml:space="preserve">of </w:t>
      </w:r>
      <w:r w:rsidRPr="005F178E">
        <w:t xml:space="preserve">ability </w:t>
      </w:r>
      <w:r w:rsidR="00480969">
        <w:t>in</w:t>
      </w:r>
      <w:r w:rsidRPr="005F178E">
        <w:t xml:space="preserve"> </w:t>
      </w:r>
      <w:r w:rsidR="00480969">
        <w:t>the</w:t>
      </w:r>
      <w:r w:rsidRPr="005F178E">
        <w:t xml:space="preserve"> A</w:t>
      </w:r>
      <w:r w:rsidR="00480969">
        <w:t> </w:t>
      </w:r>
      <w:r w:rsidRPr="005F178E">
        <w:t xml:space="preserve">grade </w:t>
      </w:r>
      <w:r w:rsidR="00480969">
        <w:t>band</w:t>
      </w:r>
      <w:r w:rsidR="00E86D14">
        <w:t>s of the performance standards</w:t>
      </w:r>
      <w:r w:rsidRPr="005F178E">
        <w:t>. Brochures and posters often do</w:t>
      </w:r>
      <w:r w:rsidR="0066071C">
        <w:t xml:space="preserve"> </w:t>
      </w:r>
      <w:r w:rsidRPr="005F178E">
        <w:t>n</w:t>
      </w:r>
      <w:r w:rsidR="0066071C">
        <w:t>o</w:t>
      </w:r>
      <w:r w:rsidRPr="005F178E">
        <w:t xml:space="preserve">t allow for </w:t>
      </w:r>
      <w:r w:rsidR="00480969">
        <w:t xml:space="preserve">work in the </w:t>
      </w:r>
      <w:r w:rsidR="000249B2">
        <w:t xml:space="preserve">upper </w:t>
      </w:r>
      <w:r w:rsidR="00480969">
        <w:t>grade band</w:t>
      </w:r>
      <w:r w:rsidR="000249B2">
        <w:t>s</w:t>
      </w:r>
      <w:r w:rsidR="005F178E" w:rsidRPr="005F178E">
        <w:t xml:space="preserve"> unless higher</w:t>
      </w:r>
      <w:r w:rsidR="005016A8">
        <w:t>-</w:t>
      </w:r>
      <w:r w:rsidR="005F178E" w:rsidRPr="005F178E">
        <w:t>order thinking is required in the design of the task</w:t>
      </w:r>
      <w:r w:rsidRPr="005F178E">
        <w:t xml:space="preserve">. </w:t>
      </w:r>
      <w:r w:rsidR="00C934D4">
        <w:t xml:space="preserve">It is important </w:t>
      </w:r>
      <w:r w:rsidR="00157737">
        <w:t xml:space="preserve">to </w:t>
      </w:r>
      <w:r w:rsidR="00157737" w:rsidRPr="005F178E">
        <w:t>set</w:t>
      </w:r>
      <w:r w:rsidR="0066071C">
        <w:t xml:space="preserve"> </w:t>
      </w:r>
      <w:r w:rsidRPr="005F178E">
        <w:t xml:space="preserve">tasks </w:t>
      </w:r>
      <w:r w:rsidR="00C934D4">
        <w:t>that</w:t>
      </w:r>
      <w:r w:rsidRPr="005F178E">
        <w:t xml:space="preserve"> allow students to demonstrate at an A</w:t>
      </w:r>
      <w:r w:rsidR="00480969">
        <w:t xml:space="preserve"> grade band</w:t>
      </w:r>
      <w:r w:rsidRPr="005F178E">
        <w:t xml:space="preserve"> across all criteria. Sometimes tasks were heavily weighted to </w:t>
      </w:r>
      <w:r w:rsidR="005F178E" w:rsidRPr="005F178E">
        <w:t>k</w:t>
      </w:r>
      <w:r w:rsidRPr="005F178E">
        <w:t xml:space="preserve">nowledge and </w:t>
      </w:r>
      <w:r w:rsidR="005F178E" w:rsidRPr="005F178E">
        <w:t>u</w:t>
      </w:r>
      <w:r w:rsidRPr="005F178E">
        <w:t xml:space="preserve">nderstanding but provided minimal opportunities for students to demonstrate </w:t>
      </w:r>
      <w:r w:rsidR="00480969">
        <w:t xml:space="preserve">ability </w:t>
      </w:r>
      <w:r w:rsidRPr="005F178E">
        <w:t>in analysis and evaluation or application.</w:t>
      </w:r>
    </w:p>
    <w:p w:rsidR="005F178E" w:rsidRPr="005F178E" w:rsidRDefault="005F178E" w:rsidP="00DD5825">
      <w:pPr>
        <w:pStyle w:val="BodyText1"/>
      </w:pPr>
      <w:r w:rsidRPr="005F178E">
        <w:t xml:space="preserve">Tasks should be clearly linked to the topics within the Stage 2 Psychology </w:t>
      </w:r>
      <w:r w:rsidR="005016A8">
        <w:t>s</w:t>
      </w:r>
      <w:r w:rsidRPr="005F178E">
        <w:t xml:space="preserve">ubject </w:t>
      </w:r>
      <w:r w:rsidR="005016A8">
        <w:t>o</w:t>
      </w:r>
      <w:r w:rsidRPr="005F178E">
        <w:t>utline. Teacher</w:t>
      </w:r>
      <w:r w:rsidR="001F7063">
        <w:t>s should avoid giving students</w:t>
      </w:r>
      <w:r w:rsidRPr="005F178E">
        <w:t xml:space="preserve"> free choice to do a task on any topic related to any field within </w:t>
      </w:r>
      <w:r w:rsidR="005016A8">
        <w:t>p</w:t>
      </w:r>
      <w:r w:rsidRPr="005F178E">
        <w:t xml:space="preserve">sychology. When students </w:t>
      </w:r>
      <w:r>
        <w:t>choose</w:t>
      </w:r>
      <w:r w:rsidRPr="005F178E">
        <w:t xml:space="preserve"> topics outside of the </w:t>
      </w:r>
      <w:r w:rsidR="00DD5825">
        <w:t>subject outline</w:t>
      </w:r>
      <w:r w:rsidR="005016A8">
        <w:t>,</w:t>
      </w:r>
      <w:r w:rsidRPr="005F178E">
        <w:t xml:space="preserve"> it has the potential for students to choose topics or areas of focus which raise ethical concerns and </w:t>
      </w:r>
      <w:r w:rsidR="005016A8">
        <w:t>these</w:t>
      </w:r>
      <w:r w:rsidRPr="005F178E">
        <w:t xml:space="preserve"> </w:t>
      </w:r>
      <w:r w:rsidR="0066071C">
        <w:t>may disadvantage</w:t>
      </w:r>
      <w:r w:rsidRPr="005F178E">
        <w:t xml:space="preserve"> students in their preparation for the exam</w:t>
      </w:r>
      <w:r w:rsidR="005016A8">
        <w:t>ination</w:t>
      </w:r>
      <w:r w:rsidR="00480969">
        <w:t>,</w:t>
      </w:r>
      <w:r w:rsidR="0066071C">
        <w:t xml:space="preserve"> as they may misunderstand what content is actually likely to be examined</w:t>
      </w:r>
      <w:r w:rsidRPr="005F178E">
        <w:t>.</w:t>
      </w:r>
    </w:p>
    <w:p w:rsidR="004D6083" w:rsidRDefault="004D6083" w:rsidP="00E07320">
      <w:pPr>
        <w:pStyle w:val="BodyText1"/>
      </w:pPr>
      <w:r w:rsidRPr="004D6083">
        <w:rPr>
          <w:szCs w:val="22"/>
        </w:rPr>
        <w:t>Teachers are advised not to use in their entirety a</w:t>
      </w:r>
      <w:r w:rsidR="005F178E">
        <w:rPr>
          <w:szCs w:val="22"/>
        </w:rPr>
        <w:t xml:space="preserve"> </w:t>
      </w:r>
      <w:r w:rsidRPr="004D6083">
        <w:rPr>
          <w:szCs w:val="22"/>
        </w:rPr>
        <w:t>series of tasks for which there are published solutions.</w:t>
      </w:r>
      <w:r w:rsidR="00297E69">
        <w:rPr>
          <w:szCs w:val="22"/>
        </w:rPr>
        <w:t xml:space="preserve"> </w:t>
      </w:r>
      <w:r w:rsidRPr="004D6083">
        <w:rPr>
          <w:szCs w:val="22"/>
        </w:rPr>
        <w:t>Past examination questions provide a valuable resource for teachers when</w:t>
      </w:r>
      <w:r w:rsidR="005F178E">
        <w:rPr>
          <w:szCs w:val="22"/>
        </w:rPr>
        <w:t xml:space="preserve"> </w:t>
      </w:r>
      <w:r w:rsidRPr="004D6083">
        <w:rPr>
          <w:szCs w:val="22"/>
        </w:rPr>
        <w:t>preparing tests and revision. However, teachers are encouraged to use these as a guide and</w:t>
      </w:r>
      <w:r w:rsidR="005F178E">
        <w:rPr>
          <w:szCs w:val="22"/>
        </w:rPr>
        <w:t xml:space="preserve"> </w:t>
      </w:r>
      <w:r w:rsidRPr="004D6083">
        <w:rPr>
          <w:szCs w:val="22"/>
        </w:rPr>
        <w:t xml:space="preserve">to adapt </w:t>
      </w:r>
      <w:r w:rsidR="00F55C1D">
        <w:rPr>
          <w:szCs w:val="22"/>
        </w:rPr>
        <w:t xml:space="preserve">them </w:t>
      </w:r>
      <w:r w:rsidRPr="004D6083">
        <w:rPr>
          <w:szCs w:val="22"/>
        </w:rPr>
        <w:t>and</w:t>
      </w:r>
      <w:r w:rsidR="00F55C1D">
        <w:rPr>
          <w:szCs w:val="22"/>
        </w:rPr>
        <w:t>,</w:t>
      </w:r>
      <w:r w:rsidRPr="004D6083">
        <w:rPr>
          <w:szCs w:val="22"/>
        </w:rPr>
        <w:t xml:space="preserve"> </w:t>
      </w:r>
      <w:r w:rsidR="00F55C1D" w:rsidRPr="004D6083">
        <w:rPr>
          <w:szCs w:val="22"/>
        </w:rPr>
        <w:t>in particular</w:t>
      </w:r>
      <w:r w:rsidR="00F55C1D">
        <w:rPr>
          <w:szCs w:val="22"/>
        </w:rPr>
        <w:t>,</w:t>
      </w:r>
      <w:r w:rsidR="00F55C1D" w:rsidRPr="004D6083">
        <w:rPr>
          <w:szCs w:val="22"/>
        </w:rPr>
        <w:t xml:space="preserve"> </w:t>
      </w:r>
      <w:r w:rsidR="00F55C1D">
        <w:rPr>
          <w:szCs w:val="22"/>
        </w:rPr>
        <w:t xml:space="preserve">to </w:t>
      </w:r>
      <w:r w:rsidRPr="004D6083">
        <w:rPr>
          <w:szCs w:val="22"/>
        </w:rPr>
        <w:t>rewrite scenarios. This is important for both the validity of</w:t>
      </w:r>
      <w:r w:rsidR="005F178E">
        <w:rPr>
          <w:szCs w:val="22"/>
        </w:rPr>
        <w:t xml:space="preserve"> </w:t>
      </w:r>
      <w:r w:rsidRPr="004D6083">
        <w:rPr>
          <w:szCs w:val="22"/>
        </w:rPr>
        <w:t>assessment during the year and for students’ preparation for the end-of-year examination.</w:t>
      </w:r>
      <w:r w:rsidR="0066071C">
        <w:rPr>
          <w:szCs w:val="22"/>
        </w:rPr>
        <w:t xml:space="preserve"> Students need to be able to demonstrate their ability ‘to</w:t>
      </w:r>
      <w:r w:rsidR="0066071C" w:rsidRPr="0066071C">
        <w:rPr>
          <w:szCs w:val="22"/>
        </w:rPr>
        <w:t xml:space="preserve"> suggest solutions to complex problems in </w:t>
      </w:r>
      <w:r w:rsidR="0066071C" w:rsidRPr="00005C62">
        <w:rPr>
          <w:i/>
          <w:szCs w:val="22"/>
        </w:rPr>
        <w:t>new</w:t>
      </w:r>
      <w:r w:rsidR="0066071C" w:rsidRPr="0066071C">
        <w:rPr>
          <w:szCs w:val="22"/>
        </w:rPr>
        <w:t xml:space="preserve"> and familiar contexts</w:t>
      </w:r>
      <w:r w:rsidR="0066071C">
        <w:rPr>
          <w:szCs w:val="22"/>
        </w:rPr>
        <w:t>’ (</w:t>
      </w:r>
      <w:r w:rsidR="00F55C1D">
        <w:rPr>
          <w:szCs w:val="22"/>
        </w:rPr>
        <w:t xml:space="preserve">in relation to specific feature </w:t>
      </w:r>
      <w:r w:rsidR="0066071C">
        <w:rPr>
          <w:szCs w:val="22"/>
        </w:rPr>
        <w:t>A1</w:t>
      </w:r>
      <w:r w:rsidR="00480969">
        <w:rPr>
          <w:szCs w:val="22"/>
        </w:rPr>
        <w:t>; emphasis added</w:t>
      </w:r>
      <w:r w:rsidR="0066071C">
        <w:rPr>
          <w:szCs w:val="22"/>
        </w:rPr>
        <w:t>)</w:t>
      </w:r>
      <w:r w:rsidR="0066071C" w:rsidRPr="0066071C">
        <w:rPr>
          <w:szCs w:val="22"/>
        </w:rPr>
        <w:t>.</w:t>
      </w:r>
      <w:r w:rsidR="00297E69">
        <w:rPr>
          <w:szCs w:val="22"/>
        </w:rPr>
        <w:t xml:space="preserve"> </w:t>
      </w:r>
      <w:r w:rsidRPr="004D6083">
        <w:rPr>
          <w:szCs w:val="22"/>
        </w:rPr>
        <w:t>It</w:t>
      </w:r>
      <w:r w:rsidR="005F178E">
        <w:rPr>
          <w:szCs w:val="22"/>
        </w:rPr>
        <w:t xml:space="preserve"> </w:t>
      </w:r>
      <w:r w:rsidR="00005C62">
        <w:rPr>
          <w:szCs w:val="22"/>
        </w:rPr>
        <w:t>is</w:t>
      </w:r>
      <w:r w:rsidRPr="004D6083">
        <w:rPr>
          <w:szCs w:val="22"/>
        </w:rPr>
        <w:t xml:space="preserve"> valuable for teachers to develop different formats for questions so that students gain</w:t>
      </w:r>
      <w:r w:rsidR="005F178E">
        <w:rPr>
          <w:szCs w:val="22"/>
        </w:rPr>
        <w:t xml:space="preserve"> </w:t>
      </w:r>
      <w:r w:rsidRPr="004D6083">
        <w:rPr>
          <w:szCs w:val="22"/>
        </w:rPr>
        <w:t>experience with novel ways of being asked about familiar content.</w:t>
      </w:r>
    </w:p>
    <w:p w:rsidR="002936C3" w:rsidRDefault="002936C3">
      <w:pPr>
        <w:rPr>
          <w:rFonts w:ascii="Arial" w:hAnsi="Arial"/>
          <w:b/>
          <w:sz w:val="28"/>
        </w:rPr>
      </w:pPr>
      <w:r>
        <w:rPr>
          <w:b/>
          <w:sz w:val="28"/>
        </w:rPr>
        <w:br w:type="page"/>
      </w:r>
    </w:p>
    <w:p w:rsidR="001A0F23" w:rsidRPr="00402EB7" w:rsidRDefault="00532959" w:rsidP="00402EB7">
      <w:pPr>
        <w:pStyle w:val="BodyText1"/>
      </w:pPr>
      <w:r w:rsidRPr="00402EB7">
        <w:rPr>
          <w:b/>
          <w:sz w:val="28"/>
        </w:rPr>
        <w:lastRenderedPageBreak/>
        <w:t>External Assessment</w:t>
      </w:r>
    </w:p>
    <w:p w:rsidR="001A0F23" w:rsidRDefault="001A0F23" w:rsidP="004C43FA">
      <w:pPr>
        <w:pStyle w:val="AssessmentTypeHeading"/>
        <w:spacing w:after="240"/>
      </w:pPr>
      <w:r w:rsidRPr="00D108CB">
        <w:t xml:space="preserve">Assessment Type </w:t>
      </w:r>
      <w:r w:rsidR="005F178E">
        <w:t>3</w:t>
      </w:r>
      <w:r w:rsidRPr="00D108CB">
        <w:t xml:space="preserve">: </w:t>
      </w:r>
      <w:r w:rsidR="005F178E">
        <w:t>Examination</w:t>
      </w:r>
    </w:p>
    <w:p w:rsidR="005F178E" w:rsidRDefault="005F178E" w:rsidP="00DD5825">
      <w:pPr>
        <w:pStyle w:val="BodyText1"/>
      </w:pPr>
      <w:r w:rsidRPr="005F178E">
        <w:t>The examination is in two sections: short-answer questions worth 80 marks and extended</w:t>
      </w:r>
      <w:r w:rsidR="006B28B9">
        <w:t>-</w:t>
      </w:r>
      <w:r w:rsidRPr="005F178E">
        <w:t>response</w:t>
      </w:r>
      <w:r w:rsidR="004C43FA">
        <w:t xml:space="preserve"> </w:t>
      </w:r>
      <w:r w:rsidRPr="005F178E">
        <w:t>questions worth 40 marks. The examination is divided into six topic headings and</w:t>
      </w:r>
      <w:r w:rsidR="004C43FA">
        <w:t xml:space="preserve"> </w:t>
      </w:r>
      <w:r w:rsidRPr="005F178E">
        <w:t>also includes questions on ethical issues and the four levels of explanation of behaviour used</w:t>
      </w:r>
      <w:r w:rsidR="004C43FA">
        <w:t xml:space="preserve"> </w:t>
      </w:r>
      <w:r w:rsidRPr="005F178E">
        <w:t>in psychology.</w:t>
      </w:r>
      <w:r w:rsidR="00566C6B">
        <w:t xml:space="preserve"> </w:t>
      </w:r>
    </w:p>
    <w:p w:rsidR="005F178E" w:rsidRDefault="005F178E" w:rsidP="00DD5825">
      <w:pPr>
        <w:pStyle w:val="BodyText1"/>
        <w:rPr>
          <w:b/>
        </w:rPr>
      </w:pPr>
      <w:r w:rsidRPr="005F178E">
        <w:t>The examination was marked out of 120 marks, using established conventions for marking,</w:t>
      </w:r>
      <w:r w:rsidR="004C43FA">
        <w:t xml:space="preserve"> </w:t>
      </w:r>
      <w:r w:rsidRPr="005F178E">
        <w:t>and the setting of the examination conformed to specifications in the 201</w:t>
      </w:r>
      <w:r w:rsidR="004C43FA">
        <w:t>4</w:t>
      </w:r>
      <w:r w:rsidRPr="005F178E">
        <w:t xml:space="preserve"> subject outline</w:t>
      </w:r>
      <w:r w:rsidR="004C43FA">
        <w:t xml:space="preserve"> </w:t>
      </w:r>
      <w:r w:rsidRPr="005F178E">
        <w:t>and subject operational information.</w:t>
      </w:r>
      <w:r w:rsidR="00FE00D9" w:rsidRPr="00FE00D9">
        <w:t xml:space="preserve"> </w:t>
      </w:r>
      <w:r w:rsidR="00FE00D9">
        <w:t>The mean score for the examination was 62%.</w:t>
      </w:r>
    </w:p>
    <w:p w:rsidR="005F178E" w:rsidRPr="00DD5825" w:rsidRDefault="005F178E" w:rsidP="00DD5825">
      <w:pPr>
        <w:pStyle w:val="BodyText1"/>
        <w:rPr>
          <w:b/>
        </w:rPr>
      </w:pPr>
      <w:r w:rsidRPr="005F178E">
        <w:t>The mean marks for each topic, ethical issues, and the four levels of explanation of</w:t>
      </w:r>
      <w:r w:rsidR="00DD5825">
        <w:t xml:space="preserve"> </w:t>
      </w:r>
      <w:r w:rsidRPr="005F178E">
        <w:rPr>
          <w:szCs w:val="22"/>
        </w:rPr>
        <w:t>behaviour are shown in the following table:</w:t>
      </w:r>
    </w:p>
    <w:tbl>
      <w:tblPr>
        <w:tblStyle w:val="TableGrid"/>
        <w:tblW w:w="0" w:type="auto"/>
        <w:tblLook w:val="04A0" w:firstRow="1" w:lastRow="0" w:firstColumn="1" w:lastColumn="0" w:noHBand="0" w:noVBand="1"/>
      </w:tblPr>
      <w:tblGrid>
        <w:gridCol w:w="5495"/>
        <w:gridCol w:w="1517"/>
        <w:gridCol w:w="1517"/>
      </w:tblGrid>
      <w:tr w:rsidR="004C43FA" w:rsidRPr="004C43FA" w:rsidTr="00E07320">
        <w:trPr>
          <w:tblHeader/>
        </w:trPr>
        <w:tc>
          <w:tcPr>
            <w:tcW w:w="5495" w:type="dxa"/>
            <w:vAlign w:val="center"/>
          </w:tcPr>
          <w:p w:rsidR="004C43FA" w:rsidRPr="004C43FA" w:rsidRDefault="000278BF" w:rsidP="004C43FA">
            <w:pPr>
              <w:pStyle w:val="AssessmentTypeHeading"/>
              <w:spacing w:before="0"/>
              <w:jc w:val="center"/>
              <w:rPr>
                <w:rFonts w:ascii="Arial" w:hAnsi="Arial"/>
                <w:b w:val="0"/>
                <w:sz w:val="22"/>
                <w:szCs w:val="22"/>
              </w:rPr>
            </w:pPr>
            <w:r>
              <w:rPr>
                <w:rFonts w:ascii="Arial" w:hAnsi="Arial"/>
                <w:b w:val="0"/>
                <w:sz w:val="22"/>
                <w:szCs w:val="22"/>
              </w:rPr>
              <w:t>T</w:t>
            </w:r>
            <w:r w:rsidR="004C43FA" w:rsidRPr="004C43FA">
              <w:rPr>
                <w:rFonts w:ascii="Arial" w:hAnsi="Arial"/>
                <w:b w:val="0"/>
                <w:sz w:val="22"/>
                <w:szCs w:val="22"/>
              </w:rPr>
              <w:t>opic</w:t>
            </w:r>
          </w:p>
        </w:tc>
        <w:tc>
          <w:tcPr>
            <w:tcW w:w="1517" w:type="dxa"/>
            <w:vAlign w:val="center"/>
          </w:tcPr>
          <w:p w:rsidR="004C43FA" w:rsidRPr="004C43FA" w:rsidRDefault="004C43FA" w:rsidP="006B28B9">
            <w:pPr>
              <w:pStyle w:val="AssessmentTypeHeading"/>
              <w:spacing w:before="0"/>
              <w:jc w:val="center"/>
              <w:rPr>
                <w:rFonts w:ascii="Arial" w:hAnsi="Arial"/>
                <w:b w:val="0"/>
                <w:sz w:val="22"/>
                <w:szCs w:val="22"/>
              </w:rPr>
            </w:pPr>
            <w:r w:rsidRPr="004C43FA">
              <w:rPr>
                <w:rFonts w:ascii="Arial" w:hAnsi="Arial"/>
                <w:b w:val="0"/>
                <w:sz w:val="22"/>
                <w:szCs w:val="22"/>
              </w:rPr>
              <w:t>Mean Mark</w:t>
            </w:r>
            <w:r>
              <w:rPr>
                <w:rFonts w:ascii="Arial" w:hAnsi="Arial"/>
                <w:b w:val="0"/>
                <w:sz w:val="22"/>
                <w:szCs w:val="22"/>
              </w:rPr>
              <w:t xml:space="preserve"> </w:t>
            </w:r>
            <w:r w:rsidRPr="004C43FA">
              <w:rPr>
                <w:rFonts w:ascii="Arial" w:hAnsi="Arial"/>
                <w:b w:val="0"/>
                <w:sz w:val="22"/>
                <w:szCs w:val="22"/>
              </w:rPr>
              <w:t>201</w:t>
            </w:r>
            <w:r>
              <w:rPr>
                <w:rFonts w:ascii="Arial" w:hAnsi="Arial"/>
                <w:b w:val="0"/>
                <w:sz w:val="22"/>
                <w:szCs w:val="22"/>
              </w:rPr>
              <w:t>4</w:t>
            </w:r>
            <w:r w:rsidR="006B28B9">
              <w:rPr>
                <w:rFonts w:ascii="Arial" w:hAnsi="Arial"/>
                <w:b w:val="0"/>
                <w:sz w:val="22"/>
                <w:szCs w:val="22"/>
              </w:rPr>
              <w:t xml:space="preserve"> (%)</w:t>
            </w:r>
          </w:p>
        </w:tc>
        <w:tc>
          <w:tcPr>
            <w:tcW w:w="1517" w:type="dxa"/>
            <w:vAlign w:val="center"/>
          </w:tcPr>
          <w:p w:rsidR="004C43FA" w:rsidRPr="004C43FA" w:rsidRDefault="004C43FA" w:rsidP="006B28B9">
            <w:pPr>
              <w:pStyle w:val="AssessmentTypeHeading"/>
              <w:spacing w:before="0"/>
              <w:jc w:val="center"/>
              <w:rPr>
                <w:rFonts w:ascii="Arial" w:hAnsi="Arial"/>
                <w:b w:val="0"/>
                <w:sz w:val="22"/>
                <w:szCs w:val="22"/>
              </w:rPr>
            </w:pPr>
            <w:r w:rsidRPr="004C43FA">
              <w:rPr>
                <w:rFonts w:ascii="Arial" w:hAnsi="Arial"/>
                <w:b w:val="0"/>
                <w:sz w:val="22"/>
                <w:szCs w:val="22"/>
              </w:rPr>
              <w:t>Mean Mark</w:t>
            </w:r>
            <w:r>
              <w:rPr>
                <w:rFonts w:ascii="Arial" w:hAnsi="Arial"/>
                <w:b w:val="0"/>
                <w:sz w:val="22"/>
                <w:szCs w:val="22"/>
              </w:rPr>
              <w:t xml:space="preserve"> </w:t>
            </w:r>
            <w:r w:rsidRPr="004C43FA">
              <w:rPr>
                <w:rFonts w:ascii="Arial" w:hAnsi="Arial"/>
                <w:b w:val="0"/>
                <w:sz w:val="22"/>
                <w:szCs w:val="22"/>
              </w:rPr>
              <w:t>201</w:t>
            </w:r>
            <w:r>
              <w:rPr>
                <w:rFonts w:ascii="Arial" w:hAnsi="Arial"/>
                <w:b w:val="0"/>
                <w:sz w:val="22"/>
                <w:szCs w:val="22"/>
              </w:rPr>
              <w:t>3</w:t>
            </w:r>
            <w:r w:rsidR="006B28B9">
              <w:rPr>
                <w:rFonts w:ascii="Arial" w:hAnsi="Arial"/>
                <w:b w:val="0"/>
                <w:sz w:val="22"/>
                <w:szCs w:val="22"/>
              </w:rPr>
              <w:t xml:space="preserve"> (%)</w:t>
            </w:r>
          </w:p>
        </w:tc>
      </w:tr>
      <w:tr w:rsidR="004C43FA" w:rsidRPr="004C43FA" w:rsidTr="0049058B">
        <w:tc>
          <w:tcPr>
            <w:tcW w:w="5495" w:type="dxa"/>
          </w:tcPr>
          <w:p w:rsidR="004C43FA" w:rsidRPr="004C43FA" w:rsidRDefault="004C43FA" w:rsidP="0049058B">
            <w:pPr>
              <w:pStyle w:val="AssessmentTypeHeading"/>
              <w:spacing w:before="0"/>
              <w:rPr>
                <w:rFonts w:ascii="Arial" w:hAnsi="Arial"/>
                <w:b w:val="0"/>
                <w:sz w:val="22"/>
                <w:szCs w:val="22"/>
              </w:rPr>
            </w:pPr>
            <w:r w:rsidRPr="004C43FA">
              <w:rPr>
                <w:rFonts w:ascii="Arial" w:hAnsi="Arial"/>
                <w:b w:val="0"/>
                <w:sz w:val="22"/>
                <w:szCs w:val="22"/>
              </w:rPr>
              <w:t>Introduction to Psychology</w:t>
            </w:r>
          </w:p>
        </w:tc>
        <w:tc>
          <w:tcPr>
            <w:tcW w:w="1517" w:type="dxa"/>
            <w:vAlign w:val="center"/>
          </w:tcPr>
          <w:p w:rsidR="0049058B" w:rsidRPr="004C43FA" w:rsidRDefault="009438E2" w:rsidP="00D45865">
            <w:pPr>
              <w:pStyle w:val="AssessmentTypeHeading"/>
              <w:spacing w:before="0"/>
              <w:jc w:val="center"/>
              <w:rPr>
                <w:rFonts w:ascii="Arial" w:hAnsi="Arial"/>
                <w:b w:val="0"/>
                <w:sz w:val="22"/>
                <w:szCs w:val="22"/>
              </w:rPr>
            </w:pPr>
            <w:r>
              <w:rPr>
                <w:rFonts w:ascii="Arial" w:hAnsi="Arial"/>
                <w:b w:val="0"/>
                <w:sz w:val="22"/>
                <w:szCs w:val="22"/>
              </w:rPr>
              <w:t>61</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64</w:t>
            </w:r>
          </w:p>
        </w:tc>
      </w:tr>
      <w:tr w:rsidR="004C43FA" w:rsidRPr="004C43FA" w:rsidTr="0049058B">
        <w:tc>
          <w:tcPr>
            <w:tcW w:w="5495" w:type="dxa"/>
          </w:tcPr>
          <w:p w:rsidR="004C43FA" w:rsidRPr="004C43FA" w:rsidRDefault="004C43FA" w:rsidP="00312B0C">
            <w:pPr>
              <w:pStyle w:val="AssessmentTypeHeading"/>
              <w:spacing w:before="0"/>
              <w:rPr>
                <w:rFonts w:ascii="Arial" w:hAnsi="Arial"/>
                <w:b w:val="0"/>
                <w:sz w:val="22"/>
                <w:szCs w:val="22"/>
              </w:rPr>
            </w:pPr>
            <w:r w:rsidRPr="004C43FA">
              <w:rPr>
                <w:rFonts w:ascii="Arial" w:hAnsi="Arial"/>
                <w:b w:val="0"/>
                <w:sz w:val="22"/>
                <w:szCs w:val="22"/>
              </w:rPr>
              <w:t>Social Cognition</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63</w:t>
            </w:r>
          </w:p>
        </w:tc>
        <w:tc>
          <w:tcPr>
            <w:tcW w:w="1517" w:type="dxa"/>
            <w:vAlign w:val="center"/>
          </w:tcPr>
          <w:p w:rsidR="004C43FA" w:rsidRPr="004C43FA" w:rsidRDefault="004C43FA" w:rsidP="00D45865">
            <w:pPr>
              <w:pStyle w:val="AssessmentTypeHeading"/>
              <w:spacing w:before="0"/>
              <w:jc w:val="center"/>
              <w:rPr>
                <w:rFonts w:ascii="Arial" w:hAnsi="Arial"/>
                <w:b w:val="0"/>
                <w:sz w:val="22"/>
                <w:szCs w:val="22"/>
              </w:rPr>
            </w:pPr>
            <w:r>
              <w:rPr>
                <w:rFonts w:ascii="Arial" w:hAnsi="Arial"/>
                <w:b w:val="0"/>
                <w:sz w:val="22"/>
                <w:szCs w:val="22"/>
              </w:rPr>
              <w:t>75</w:t>
            </w:r>
          </w:p>
        </w:tc>
      </w:tr>
      <w:tr w:rsidR="004C43FA" w:rsidRPr="004C43FA" w:rsidTr="0049058B">
        <w:tc>
          <w:tcPr>
            <w:tcW w:w="5495" w:type="dxa"/>
          </w:tcPr>
          <w:p w:rsidR="004C43FA" w:rsidRPr="004C43FA" w:rsidRDefault="004C43FA" w:rsidP="00312B0C">
            <w:pPr>
              <w:pStyle w:val="AssessmentTypeHeading"/>
              <w:spacing w:before="0"/>
              <w:rPr>
                <w:rFonts w:ascii="Arial" w:hAnsi="Arial"/>
                <w:b w:val="0"/>
                <w:sz w:val="22"/>
                <w:szCs w:val="22"/>
              </w:rPr>
            </w:pPr>
            <w:r w:rsidRPr="004C43FA">
              <w:rPr>
                <w:rFonts w:ascii="Arial" w:hAnsi="Arial"/>
                <w:b w:val="0"/>
                <w:sz w:val="22"/>
                <w:szCs w:val="22"/>
              </w:rPr>
              <w:t>Learning</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59</w:t>
            </w:r>
          </w:p>
        </w:tc>
        <w:tc>
          <w:tcPr>
            <w:tcW w:w="1517" w:type="dxa"/>
            <w:vAlign w:val="center"/>
          </w:tcPr>
          <w:p w:rsidR="004C43FA" w:rsidRPr="004C43FA" w:rsidRDefault="00D45865" w:rsidP="0049058B">
            <w:pPr>
              <w:pStyle w:val="AssessmentTypeHeading"/>
              <w:spacing w:before="0"/>
              <w:jc w:val="center"/>
              <w:rPr>
                <w:rFonts w:ascii="Arial" w:hAnsi="Arial"/>
                <w:b w:val="0"/>
                <w:sz w:val="22"/>
                <w:szCs w:val="22"/>
              </w:rPr>
            </w:pPr>
            <w:r>
              <w:rPr>
                <w:rFonts w:ascii="Arial" w:hAnsi="Arial"/>
                <w:b w:val="0"/>
                <w:sz w:val="22"/>
                <w:szCs w:val="22"/>
              </w:rPr>
              <w:t>70</w:t>
            </w:r>
          </w:p>
        </w:tc>
      </w:tr>
      <w:tr w:rsidR="004C43FA" w:rsidRPr="004C43FA" w:rsidTr="0049058B">
        <w:tc>
          <w:tcPr>
            <w:tcW w:w="5495" w:type="dxa"/>
          </w:tcPr>
          <w:p w:rsidR="004C43FA" w:rsidRPr="004C43FA" w:rsidRDefault="004C43FA" w:rsidP="00312B0C">
            <w:pPr>
              <w:pStyle w:val="AssessmentTypeHeading"/>
              <w:spacing w:before="0"/>
              <w:rPr>
                <w:rFonts w:ascii="Arial" w:hAnsi="Arial"/>
                <w:b w:val="0"/>
                <w:sz w:val="22"/>
                <w:szCs w:val="22"/>
              </w:rPr>
            </w:pPr>
            <w:r w:rsidRPr="004C43FA">
              <w:rPr>
                <w:rFonts w:ascii="Arial" w:hAnsi="Arial"/>
                <w:b w:val="0"/>
                <w:sz w:val="22"/>
                <w:szCs w:val="22"/>
              </w:rPr>
              <w:t>Personality</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59</w:t>
            </w:r>
          </w:p>
        </w:tc>
        <w:tc>
          <w:tcPr>
            <w:tcW w:w="1517" w:type="dxa"/>
            <w:vAlign w:val="center"/>
          </w:tcPr>
          <w:p w:rsidR="004C43FA" w:rsidRPr="004C43FA" w:rsidRDefault="004C43FA" w:rsidP="00D45865">
            <w:pPr>
              <w:pStyle w:val="AssessmentTypeHeading"/>
              <w:spacing w:before="0"/>
              <w:jc w:val="center"/>
              <w:rPr>
                <w:rFonts w:ascii="Arial" w:hAnsi="Arial"/>
                <w:b w:val="0"/>
                <w:sz w:val="22"/>
                <w:szCs w:val="22"/>
              </w:rPr>
            </w:pPr>
            <w:r>
              <w:rPr>
                <w:rFonts w:ascii="Arial" w:hAnsi="Arial"/>
                <w:b w:val="0"/>
                <w:sz w:val="22"/>
                <w:szCs w:val="22"/>
              </w:rPr>
              <w:t>58</w:t>
            </w:r>
          </w:p>
        </w:tc>
      </w:tr>
      <w:tr w:rsidR="004C43FA" w:rsidRPr="004C43FA" w:rsidTr="0049058B">
        <w:tc>
          <w:tcPr>
            <w:tcW w:w="5495" w:type="dxa"/>
          </w:tcPr>
          <w:p w:rsidR="004C43FA" w:rsidRPr="004C43FA" w:rsidRDefault="004C43FA" w:rsidP="00312B0C">
            <w:pPr>
              <w:pStyle w:val="AssessmentTypeHeading"/>
              <w:spacing w:before="0"/>
              <w:rPr>
                <w:rFonts w:ascii="Arial" w:hAnsi="Arial"/>
                <w:b w:val="0"/>
                <w:sz w:val="22"/>
                <w:szCs w:val="22"/>
              </w:rPr>
            </w:pPr>
            <w:r w:rsidRPr="004C43FA">
              <w:rPr>
                <w:rFonts w:ascii="Arial" w:hAnsi="Arial"/>
                <w:b w:val="0"/>
                <w:sz w:val="22"/>
                <w:szCs w:val="22"/>
              </w:rPr>
              <w:t>Psychobiology of Altered States of Awareness</w:t>
            </w:r>
          </w:p>
        </w:tc>
        <w:tc>
          <w:tcPr>
            <w:tcW w:w="1517" w:type="dxa"/>
            <w:vAlign w:val="center"/>
          </w:tcPr>
          <w:p w:rsidR="004C43FA" w:rsidRPr="004C43FA" w:rsidRDefault="0049058B" w:rsidP="00D45865">
            <w:pPr>
              <w:pStyle w:val="AssessmentTypeHeading"/>
              <w:spacing w:before="0"/>
              <w:jc w:val="center"/>
              <w:rPr>
                <w:rFonts w:ascii="Arial" w:hAnsi="Arial"/>
                <w:b w:val="0"/>
                <w:sz w:val="22"/>
                <w:szCs w:val="22"/>
              </w:rPr>
            </w:pPr>
            <w:r>
              <w:rPr>
                <w:rFonts w:ascii="Arial" w:hAnsi="Arial"/>
                <w:b w:val="0"/>
                <w:sz w:val="22"/>
                <w:szCs w:val="22"/>
              </w:rPr>
              <w:t>61</w:t>
            </w:r>
          </w:p>
        </w:tc>
        <w:tc>
          <w:tcPr>
            <w:tcW w:w="1517" w:type="dxa"/>
            <w:vAlign w:val="center"/>
          </w:tcPr>
          <w:p w:rsidR="004C43FA" w:rsidRPr="004C43FA" w:rsidRDefault="004C43FA" w:rsidP="00D45865">
            <w:pPr>
              <w:pStyle w:val="AssessmentTypeHeading"/>
              <w:spacing w:before="0"/>
              <w:jc w:val="center"/>
              <w:rPr>
                <w:rFonts w:ascii="Arial" w:hAnsi="Arial"/>
                <w:b w:val="0"/>
                <w:sz w:val="22"/>
                <w:szCs w:val="22"/>
              </w:rPr>
            </w:pPr>
            <w:r>
              <w:rPr>
                <w:rFonts w:ascii="Arial" w:hAnsi="Arial"/>
                <w:b w:val="0"/>
                <w:sz w:val="22"/>
                <w:szCs w:val="22"/>
              </w:rPr>
              <w:t>60</w:t>
            </w:r>
          </w:p>
        </w:tc>
      </w:tr>
      <w:tr w:rsidR="004C43FA" w:rsidRPr="004C43FA" w:rsidTr="0049058B">
        <w:tc>
          <w:tcPr>
            <w:tcW w:w="5495" w:type="dxa"/>
          </w:tcPr>
          <w:p w:rsidR="004C43FA" w:rsidRPr="004C43FA" w:rsidRDefault="004C43FA" w:rsidP="00312B0C">
            <w:pPr>
              <w:pStyle w:val="AssessmentTypeHeading"/>
              <w:spacing w:before="0"/>
              <w:rPr>
                <w:rFonts w:ascii="Arial" w:hAnsi="Arial"/>
                <w:b w:val="0"/>
                <w:sz w:val="22"/>
                <w:szCs w:val="22"/>
              </w:rPr>
            </w:pPr>
            <w:r w:rsidRPr="004C43FA">
              <w:rPr>
                <w:rFonts w:ascii="Arial" w:hAnsi="Arial"/>
                <w:b w:val="0"/>
                <w:sz w:val="22"/>
                <w:szCs w:val="22"/>
              </w:rPr>
              <w:t>Healthy Minds</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64</w:t>
            </w:r>
          </w:p>
        </w:tc>
        <w:tc>
          <w:tcPr>
            <w:tcW w:w="1517" w:type="dxa"/>
            <w:vAlign w:val="center"/>
          </w:tcPr>
          <w:p w:rsidR="004C43FA" w:rsidRPr="004C43FA" w:rsidRDefault="00D45865" w:rsidP="0049058B">
            <w:pPr>
              <w:pStyle w:val="AssessmentTypeHeading"/>
              <w:spacing w:before="0"/>
              <w:jc w:val="center"/>
              <w:rPr>
                <w:rFonts w:ascii="Arial" w:hAnsi="Arial"/>
                <w:b w:val="0"/>
                <w:sz w:val="22"/>
                <w:szCs w:val="22"/>
              </w:rPr>
            </w:pPr>
            <w:r>
              <w:rPr>
                <w:rFonts w:ascii="Arial" w:hAnsi="Arial"/>
                <w:b w:val="0"/>
                <w:sz w:val="22"/>
                <w:szCs w:val="22"/>
              </w:rPr>
              <w:t>70</w:t>
            </w:r>
          </w:p>
        </w:tc>
      </w:tr>
      <w:tr w:rsidR="004C43FA" w:rsidRPr="004C43FA" w:rsidTr="0049058B">
        <w:tc>
          <w:tcPr>
            <w:tcW w:w="5495" w:type="dxa"/>
          </w:tcPr>
          <w:p w:rsidR="004C43FA" w:rsidRPr="004C43FA" w:rsidRDefault="004C43FA" w:rsidP="00312B0C">
            <w:pPr>
              <w:pStyle w:val="AssessmentTypeHeading"/>
              <w:spacing w:before="0"/>
              <w:rPr>
                <w:rFonts w:ascii="Arial" w:hAnsi="Arial"/>
                <w:b w:val="0"/>
                <w:sz w:val="22"/>
                <w:szCs w:val="22"/>
              </w:rPr>
            </w:pPr>
            <w:r w:rsidRPr="004C43FA">
              <w:rPr>
                <w:rFonts w:ascii="Arial" w:hAnsi="Arial"/>
                <w:b w:val="0"/>
                <w:sz w:val="22"/>
                <w:szCs w:val="22"/>
              </w:rPr>
              <w:t>Ethical Issues</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66</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68</w:t>
            </w:r>
          </w:p>
        </w:tc>
      </w:tr>
      <w:tr w:rsidR="004C43FA" w:rsidRPr="004C43FA" w:rsidTr="0049058B">
        <w:tc>
          <w:tcPr>
            <w:tcW w:w="5495" w:type="dxa"/>
          </w:tcPr>
          <w:p w:rsidR="004C43FA" w:rsidRPr="004C43FA" w:rsidRDefault="004C43FA" w:rsidP="00312B0C">
            <w:pPr>
              <w:pStyle w:val="AssessmentTypeHeading"/>
              <w:spacing w:before="0"/>
              <w:rPr>
                <w:rFonts w:ascii="Arial" w:hAnsi="Arial"/>
                <w:b w:val="0"/>
                <w:sz w:val="22"/>
                <w:szCs w:val="22"/>
              </w:rPr>
            </w:pPr>
            <w:r w:rsidRPr="004C43FA">
              <w:rPr>
                <w:rFonts w:ascii="Arial" w:hAnsi="Arial"/>
                <w:b w:val="0"/>
                <w:sz w:val="22"/>
                <w:szCs w:val="22"/>
              </w:rPr>
              <w:t>Four Levels of Explanation of Behaviour</w:t>
            </w:r>
          </w:p>
        </w:tc>
        <w:tc>
          <w:tcPr>
            <w:tcW w:w="1517" w:type="dxa"/>
            <w:vAlign w:val="center"/>
          </w:tcPr>
          <w:p w:rsidR="004C43FA" w:rsidRPr="004C43FA" w:rsidRDefault="00D45865" w:rsidP="00D45865">
            <w:pPr>
              <w:pStyle w:val="AssessmentTypeHeading"/>
              <w:spacing w:before="0"/>
              <w:jc w:val="center"/>
              <w:rPr>
                <w:rFonts w:ascii="Arial" w:hAnsi="Arial"/>
                <w:b w:val="0"/>
                <w:sz w:val="22"/>
                <w:szCs w:val="22"/>
              </w:rPr>
            </w:pPr>
            <w:r>
              <w:rPr>
                <w:rFonts w:ascii="Arial" w:hAnsi="Arial"/>
                <w:b w:val="0"/>
                <w:sz w:val="22"/>
                <w:szCs w:val="22"/>
              </w:rPr>
              <w:t>76</w:t>
            </w:r>
          </w:p>
        </w:tc>
        <w:tc>
          <w:tcPr>
            <w:tcW w:w="1517" w:type="dxa"/>
            <w:vAlign w:val="center"/>
          </w:tcPr>
          <w:p w:rsidR="004C43FA" w:rsidRPr="004C43FA" w:rsidRDefault="00D45865" w:rsidP="0049058B">
            <w:pPr>
              <w:pStyle w:val="AssessmentTypeHeading"/>
              <w:spacing w:before="0"/>
              <w:jc w:val="center"/>
              <w:rPr>
                <w:rFonts w:ascii="Arial" w:hAnsi="Arial"/>
                <w:b w:val="0"/>
                <w:sz w:val="22"/>
                <w:szCs w:val="22"/>
              </w:rPr>
            </w:pPr>
            <w:r>
              <w:rPr>
                <w:rFonts w:ascii="Arial" w:hAnsi="Arial"/>
                <w:b w:val="0"/>
                <w:sz w:val="22"/>
                <w:szCs w:val="22"/>
              </w:rPr>
              <w:t>70</w:t>
            </w:r>
          </w:p>
        </w:tc>
      </w:tr>
    </w:tbl>
    <w:p w:rsidR="005F178E" w:rsidRDefault="00566C6B" w:rsidP="00DD5825">
      <w:pPr>
        <w:pStyle w:val="BodyText1"/>
        <w:rPr>
          <w:b/>
        </w:rPr>
      </w:pPr>
      <w:r>
        <w:t xml:space="preserve">These percentages reflect consistent </w:t>
      </w:r>
      <w:r w:rsidR="005F178E" w:rsidRPr="005F178E">
        <w:t>learning in all aspects of the course.</w:t>
      </w:r>
    </w:p>
    <w:p w:rsidR="00EF08EB" w:rsidRDefault="005F178E" w:rsidP="00DD5825">
      <w:pPr>
        <w:pStyle w:val="BodyText1"/>
        <w:rPr>
          <w:b/>
        </w:rPr>
      </w:pPr>
      <w:r w:rsidRPr="005F178E">
        <w:t xml:space="preserve">Personality </w:t>
      </w:r>
      <w:r w:rsidR="007C64D3">
        <w:t xml:space="preserve">continued </w:t>
      </w:r>
      <w:r w:rsidR="00EF08EB">
        <w:t>to be a challenging topic for students</w:t>
      </w:r>
      <w:r w:rsidR="007C64D3">
        <w:t>, having the lowest mean score</w:t>
      </w:r>
      <w:r w:rsidRPr="005F178E">
        <w:t>.</w:t>
      </w:r>
      <w:r w:rsidR="00EF08EB">
        <w:t xml:space="preserve"> Students need to demonstrate an understanding of the three theories of </w:t>
      </w:r>
      <w:r w:rsidR="006610DC">
        <w:t>p</w:t>
      </w:r>
      <w:r w:rsidR="00EF08EB">
        <w:t>ersonality, not just as a collection of individual concepts, but as a coherent explanation for patterns of human behaviour.</w:t>
      </w:r>
    </w:p>
    <w:p w:rsidR="005F178E" w:rsidRDefault="00005C62" w:rsidP="00DD5825">
      <w:pPr>
        <w:pStyle w:val="BodyText1"/>
        <w:rPr>
          <w:b/>
        </w:rPr>
      </w:pPr>
      <w:r>
        <w:t>Some i</w:t>
      </w:r>
      <w:r w:rsidR="005F178E" w:rsidRPr="005F178E">
        <w:t xml:space="preserve">ndividual questions in </w:t>
      </w:r>
      <w:r w:rsidR="001F7063">
        <w:t xml:space="preserve">the </w:t>
      </w:r>
      <w:r w:rsidR="00EF08EB">
        <w:t>Learning topic</w:t>
      </w:r>
      <w:r w:rsidR="005F178E" w:rsidRPr="005F178E">
        <w:t xml:space="preserve"> proved most</w:t>
      </w:r>
      <w:r w:rsidR="004C43FA">
        <w:t xml:space="preserve"> </w:t>
      </w:r>
      <w:r w:rsidR="005F178E" w:rsidRPr="005F178E">
        <w:t xml:space="preserve">challenging for students, whereas concepts in </w:t>
      </w:r>
      <w:r w:rsidR="00EF08EB">
        <w:t>Introduction to Psychology</w:t>
      </w:r>
      <w:r w:rsidR="005F178E" w:rsidRPr="005F178E">
        <w:t xml:space="preserve"> were well understood by a</w:t>
      </w:r>
      <w:r w:rsidR="004C43FA">
        <w:t xml:space="preserve"> </w:t>
      </w:r>
      <w:r w:rsidR="005F178E" w:rsidRPr="005F178E">
        <w:t>significant majority of students.</w:t>
      </w:r>
    </w:p>
    <w:p w:rsidR="001E452E" w:rsidRPr="005F178E" w:rsidRDefault="001E452E" w:rsidP="00DD5825">
      <w:pPr>
        <w:pStyle w:val="BodyText1"/>
        <w:rPr>
          <w:b/>
        </w:rPr>
      </w:pPr>
      <w:r>
        <w:t xml:space="preserve">As a general observation, many students </w:t>
      </w:r>
      <w:r w:rsidR="00C934D4">
        <w:t xml:space="preserve">show their clear understanding of the key terminology in psychology and gained marks for this. However there are still some students who </w:t>
      </w:r>
      <w:r>
        <w:t>lost marks through the use of everyday language</w:t>
      </w:r>
      <w:r w:rsidR="006610DC">
        <w:t>,</w:t>
      </w:r>
      <w:r>
        <w:t xml:space="preserve"> </w:t>
      </w:r>
      <w:r w:rsidR="00005C62">
        <w:t>thereby not demonstrating</w:t>
      </w:r>
      <w:r>
        <w:t xml:space="preserve"> knowledge of the </w:t>
      </w:r>
      <w:r w:rsidR="00C934D4">
        <w:t>correct terms.</w:t>
      </w:r>
      <w:r w:rsidR="00297E69">
        <w:t xml:space="preserve"> </w:t>
      </w:r>
      <w:r>
        <w:t>Further to this, many students did not provide full accounts of concepts and only demonstrated understanding of a general nature.</w:t>
      </w:r>
      <w:r w:rsidR="00297E69">
        <w:t xml:space="preserve"> </w:t>
      </w:r>
      <w:r>
        <w:t xml:space="preserve">Greater precision in the expression of ideas </w:t>
      </w:r>
      <w:r w:rsidR="000429F9">
        <w:t xml:space="preserve">would </w:t>
      </w:r>
      <w:r>
        <w:t xml:space="preserve">improve grades for </w:t>
      </w:r>
      <w:r w:rsidR="000429F9">
        <w:t xml:space="preserve">these </w:t>
      </w:r>
      <w:r>
        <w:t>students.</w:t>
      </w:r>
    </w:p>
    <w:p w:rsidR="005F178E" w:rsidRPr="00D03D90" w:rsidRDefault="005F178E" w:rsidP="00157737">
      <w:pPr>
        <w:pStyle w:val="Topicheading"/>
      </w:pPr>
      <w:r w:rsidRPr="00D03D90">
        <w:t>Section A: Short-answer Questions</w:t>
      </w:r>
    </w:p>
    <w:p w:rsidR="005F178E" w:rsidRPr="005F178E" w:rsidRDefault="005F178E" w:rsidP="00D03D90">
      <w:pPr>
        <w:pStyle w:val="BodyText1"/>
        <w:rPr>
          <w:b/>
        </w:rPr>
      </w:pPr>
      <w:r w:rsidRPr="005F178E">
        <w:t>In general, 2 marks are allocated for one well-expressed idea or piece of information.</w:t>
      </w:r>
      <w:r w:rsidR="000174F1">
        <w:t xml:space="preserve"> Question 18 was an exception to this allocation, where a list of symptoms was required and considered to be less affected by expression.</w:t>
      </w:r>
    </w:p>
    <w:p w:rsidR="005F178E" w:rsidRPr="005F178E" w:rsidRDefault="005F178E" w:rsidP="00D03D90">
      <w:pPr>
        <w:pStyle w:val="BodyText1"/>
        <w:rPr>
          <w:b/>
        </w:rPr>
      </w:pPr>
      <w:r w:rsidRPr="005F178E">
        <w:lastRenderedPageBreak/>
        <w:t xml:space="preserve">Questions that require a detailed explanation are usually worth 4 marks and </w:t>
      </w:r>
      <w:r w:rsidR="004C43FA">
        <w:t>t</w:t>
      </w:r>
      <w:r w:rsidRPr="005F178E">
        <w:t>herefore, to</w:t>
      </w:r>
      <w:r w:rsidR="004C43FA">
        <w:t xml:space="preserve"> </w:t>
      </w:r>
      <w:r w:rsidRPr="005F178E">
        <w:t>obtain full marks, students must supply two relevant and connected pieces of information.</w:t>
      </w:r>
      <w:r w:rsidR="00D12A59">
        <w:t xml:space="preserve"> </w:t>
      </w:r>
      <w:r w:rsidRPr="005F178E">
        <w:t>Students need to be mindful not to use the wording of the question as if it was an answer in</w:t>
      </w:r>
      <w:r w:rsidR="004C43FA">
        <w:t xml:space="preserve"> </w:t>
      </w:r>
      <w:r w:rsidRPr="005F178E">
        <w:t xml:space="preserve">itself. </w:t>
      </w:r>
    </w:p>
    <w:p w:rsidR="005F178E" w:rsidRPr="005F178E" w:rsidRDefault="005F178E" w:rsidP="00D03D90">
      <w:pPr>
        <w:pStyle w:val="BodyText1"/>
        <w:rPr>
          <w:b/>
        </w:rPr>
      </w:pPr>
      <w:r w:rsidRPr="005F178E">
        <w:t>The short-answer questions varied in difficulty from those that required straightforward, easily</w:t>
      </w:r>
      <w:r w:rsidR="000174F1">
        <w:t xml:space="preserve"> </w:t>
      </w:r>
      <w:r w:rsidRPr="005F178E">
        <w:t>reproduced knowledge to those that required skills of critical understanding, problem-solving,</w:t>
      </w:r>
      <w:r w:rsidR="000174F1">
        <w:t xml:space="preserve"> </w:t>
      </w:r>
      <w:r w:rsidRPr="005F178E">
        <w:t>and/or application of psychological principles.</w:t>
      </w:r>
    </w:p>
    <w:p w:rsidR="005F178E" w:rsidRPr="005F178E" w:rsidRDefault="005F178E" w:rsidP="00D03D90">
      <w:pPr>
        <w:pStyle w:val="BodyText1"/>
        <w:rPr>
          <w:b/>
        </w:rPr>
      </w:pPr>
      <w:r w:rsidRPr="005F178E">
        <w:t xml:space="preserve">Students </w:t>
      </w:r>
      <w:r w:rsidR="00DF556F">
        <w:t>who performed well demonstrated that they understood the distinction between</w:t>
      </w:r>
      <w:r w:rsidR="000174F1">
        <w:t xml:space="preserve"> </w:t>
      </w:r>
      <w:r w:rsidRPr="005F178E">
        <w:t>the key verb</w:t>
      </w:r>
      <w:r w:rsidR="00DF556F">
        <w:t>s</w:t>
      </w:r>
      <w:r w:rsidRPr="005F178E">
        <w:t xml:space="preserve"> used in the question</w:t>
      </w:r>
      <w:r w:rsidR="00DF556F">
        <w:t>.</w:t>
      </w:r>
      <w:r w:rsidR="00297E69">
        <w:t xml:space="preserve"> </w:t>
      </w:r>
      <w:r w:rsidR="00DF556F">
        <w:t>They recognised, for example,</w:t>
      </w:r>
      <w:r w:rsidRPr="005F178E">
        <w:t xml:space="preserve"> the difference between</w:t>
      </w:r>
      <w:r w:rsidR="000174F1">
        <w:t xml:space="preserve"> </w:t>
      </w:r>
      <w:r w:rsidRPr="005F178E">
        <w:t>‘</w:t>
      </w:r>
      <w:r w:rsidR="007901D9">
        <w:t>identify</w:t>
      </w:r>
      <w:r w:rsidRPr="005F178E">
        <w:t>’, ‘describe’,</w:t>
      </w:r>
      <w:r w:rsidR="007901D9">
        <w:t xml:space="preserve"> ‘discuss’</w:t>
      </w:r>
      <w:r w:rsidR="006610DC">
        <w:t>,</w:t>
      </w:r>
      <w:r w:rsidRPr="005F178E">
        <w:t xml:space="preserve"> and ‘explain’</w:t>
      </w:r>
      <w:r w:rsidR="00DF556F">
        <w:t xml:space="preserve"> when answering questions</w:t>
      </w:r>
      <w:r w:rsidRPr="005F178E">
        <w:t xml:space="preserve">. </w:t>
      </w:r>
    </w:p>
    <w:p w:rsidR="005F178E" w:rsidRDefault="005F178E" w:rsidP="00D03D90">
      <w:pPr>
        <w:pStyle w:val="BodyText1"/>
        <w:rPr>
          <w:b/>
          <w:szCs w:val="22"/>
        </w:rPr>
      </w:pPr>
      <w:r w:rsidRPr="005F178E">
        <w:rPr>
          <w:szCs w:val="22"/>
        </w:rPr>
        <w:t xml:space="preserve">When questions </w:t>
      </w:r>
      <w:r w:rsidR="00D12A59">
        <w:rPr>
          <w:szCs w:val="22"/>
        </w:rPr>
        <w:t>are</w:t>
      </w:r>
      <w:r w:rsidR="00D12A59" w:rsidRPr="005F178E">
        <w:rPr>
          <w:szCs w:val="22"/>
        </w:rPr>
        <w:t xml:space="preserve"> </w:t>
      </w:r>
      <w:r w:rsidRPr="005F178E">
        <w:rPr>
          <w:szCs w:val="22"/>
        </w:rPr>
        <w:t xml:space="preserve">divided into parts, students </w:t>
      </w:r>
      <w:r w:rsidR="00DF556F">
        <w:rPr>
          <w:szCs w:val="22"/>
        </w:rPr>
        <w:t xml:space="preserve">need to recognise </w:t>
      </w:r>
      <w:r w:rsidRPr="005F178E">
        <w:rPr>
          <w:szCs w:val="22"/>
        </w:rPr>
        <w:t>the relevance of each part</w:t>
      </w:r>
      <w:r w:rsidR="00DF556F">
        <w:rPr>
          <w:szCs w:val="22"/>
        </w:rPr>
        <w:t xml:space="preserve"> of the question</w:t>
      </w:r>
      <w:r w:rsidRPr="005F178E">
        <w:rPr>
          <w:szCs w:val="22"/>
        </w:rPr>
        <w:t xml:space="preserve"> to the opening scenario. </w:t>
      </w:r>
      <w:r w:rsidR="00D12A59" w:rsidRPr="005F178E">
        <w:rPr>
          <w:szCs w:val="22"/>
        </w:rPr>
        <w:t xml:space="preserve">Students </w:t>
      </w:r>
      <w:r w:rsidR="00D12A59">
        <w:rPr>
          <w:szCs w:val="22"/>
        </w:rPr>
        <w:t>achieved at higher levels when they</w:t>
      </w:r>
      <w:r w:rsidR="00D12A59" w:rsidRPr="005F178E">
        <w:rPr>
          <w:szCs w:val="22"/>
        </w:rPr>
        <w:t xml:space="preserve"> provided clear and concise answers directly related to the</w:t>
      </w:r>
      <w:r w:rsidR="00D12A59">
        <w:rPr>
          <w:szCs w:val="22"/>
        </w:rPr>
        <w:t xml:space="preserve"> </w:t>
      </w:r>
      <w:r w:rsidR="00D12A59" w:rsidRPr="005F178E">
        <w:rPr>
          <w:szCs w:val="22"/>
        </w:rPr>
        <w:t>scenario</w:t>
      </w:r>
      <w:r w:rsidR="007B4A25">
        <w:rPr>
          <w:szCs w:val="22"/>
        </w:rPr>
        <w:t xml:space="preserve"> rather than </w:t>
      </w:r>
      <w:r w:rsidR="007B4A25" w:rsidRPr="005F178E">
        <w:t>generic answers</w:t>
      </w:r>
      <w:r w:rsidR="00D12A59" w:rsidRPr="005F178E">
        <w:rPr>
          <w:szCs w:val="22"/>
        </w:rPr>
        <w:t xml:space="preserve">. </w:t>
      </w:r>
      <w:r w:rsidR="00D12A59">
        <w:rPr>
          <w:szCs w:val="22"/>
        </w:rPr>
        <w:t>T</w:t>
      </w:r>
      <w:r w:rsidR="00DF556F">
        <w:rPr>
          <w:szCs w:val="22"/>
        </w:rPr>
        <w:t>hey</w:t>
      </w:r>
      <w:r w:rsidRPr="005F178E">
        <w:rPr>
          <w:szCs w:val="22"/>
        </w:rPr>
        <w:t xml:space="preserve"> </w:t>
      </w:r>
      <w:r w:rsidR="00D12A59">
        <w:rPr>
          <w:szCs w:val="22"/>
        </w:rPr>
        <w:t xml:space="preserve">should </w:t>
      </w:r>
      <w:r w:rsidRPr="005F178E">
        <w:rPr>
          <w:szCs w:val="22"/>
        </w:rPr>
        <w:t>avoid</w:t>
      </w:r>
      <w:r w:rsidR="007901D9">
        <w:rPr>
          <w:szCs w:val="22"/>
        </w:rPr>
        <w:t xml:space="preserve"> </w:t>
      </w:r>
      <w:r w:rsidRPr="005F178E">
        <w:rPr>
          <w:szCs w:val="22"/>
        </w:rPr>
        <w:t>writing irrelevant information that may lead them to answer incorrectly</w:t>
      </w:r>
      <w:r w:rsidR="00194EC1">
        <w:rPr>
          <w:szCs w:val="22"/>
        </w:rPr>
        <w:t xml:space="preserve"> as </w:t>
      </w:r>
      <w:r w:rsidR="00194EC1" w:rsidRPr="005F178E">
        <w:rPr>
          <w:szCs w:val="22"/>
        </w:rPr>
        <w:t>answers that contain contradictory</w:t>
      </w:r>
      <w:r w:rsidR="00194EC1">
        <w:rPr>
          <w:szCs w:val="22"/>
        </w:rPr>
        <w:t xml:space="preserve"> </w:t>
      </w:r>
      <w:r w:rsidR="00194EC1" w:rsidRPr="005F178E">
        <w:rPr>
          <w:szCs w:val="22"/>
        </w:rPr>
        <w:t>notions cannot receive full marks</w:t>
      </w:r>
      <w:r w:rsidRPr="005F178E">
        <w:rPr>
          <w:szCs w:val="22"/>
        </w:rPr>
        <w:t>.</w:t>
      </w:r>
      <w:r w:rsidR="007901D9">
        <w:rPr>
          <w:szCs w:val="22"/>
        </w:rPr>
        <w:t xml:space="preserve"> </w:t>
      </w:r>
      <w:r w:rsidRPr="005F178E">
        <w:rPr>
          <w:szCs w:val="22"/>
        </w:rPr>
        <w:t>The number of lines provided for the answer in the examination paper gives an</w:t>
      </w:r>
      <w:r w:rsidR="007901D9">
        <w:rPr>
          <w:szCs w:val="22"/>
        </w:rPr>
        <w:t xml:space="preserve"> </w:t>
      </w:r>
      <w:r w:rsidRPr="005F178E">
        <w:rPr>
          <w:szCs w:val="22"/>
        </w:rPr>
        <w:t xml:space="preserve">approximate guide to the average length of response required. </w:t>
      </w:r>
      <w:r w:rsidR="00194EC1">
        <w:rPr>
          <w:szCs w:val="22"/>
        </w:rPr>
        <w:t>I</w:t>
      </w:r>
      <w:r w:rsidRPr="005F178E">
        <w:rPr>
          <w:szCs w:val="22"/>
        </w:rPr>
        <w:t xml:space="preserve">t may be useful for </w:t>
      </w:r>
      <w:r w:rsidR="00194EC1">
        <w:rPr>
          <w:szCs w:val="22"/>
        </w:rPr>
        <w:t>students</w:t>
      </w:r>
      <w:r w:rsidR="00194EC1" w:rsidRPr="005F178E">
        <w:rPr>
          <w:szCs w:val="22"/>
        </w:rPr>
        <w:t xml:space="preserve"> </w:t>
      </w:r>
      <w:r w:rsidRPr="005F178E">
        <w:rPr>
          <w:szCs w:val="22"/>
        </w:rPr>
        <w:t>to practise answering within</w:t>
      </w:r>
      <w:r w:rsidR="007901D9">
        <w:rPr>
          <w:szCs w:val="22"/>
        </w:rPr>
        <w:t xml:space="preserve"> </w:t>
      </w:r>
      <w:r w:rsidRPr="005F178E">
        <w:rPr>
          <w:szCs w:val="22"/>
        </w:rPr>
        <w:t xml:space="preserve">the lines provided, using past </w:t>
      </w:r>
      <w:r w:rsidR="007901D9">
        <w:rPr>
          <w:szCs w:val="22"/>
        </w:rPr>
        <w:t>e</w:t>
      </w:r>
      <w:r w:rsidRPr="005F178E">
        <w:rPr>
          <w:szCs w:val="22"/>
        </w:rPr>
        <w:t>xamination papers. .</w:t>
      </w:r>
    </w:p>
    <w:p w:rsidR="005F178E" w:rsidRPr="005F178E" w:rsidRDefault="005F178E" w:rsidP="00D03D90">
      <w:pPr>
        <w:pStyle w:val="BodyText1"/>
        <w:rPr>
          <w:b/>
        </w:rPr>
      </w:pPr>
      <w:r w:rsidRPr="005F178E">
        <w:t>Teachers are advised to address these issues during the teaching program so that students</w:t>
      </w:r>
      <w:r w:rsidR="007901D9">
        <w:t xml:space="preserve"> </w:t>
      </w:r>
      <w:r w:rsidRPr="005F178E">
        <w:t>are able to use a wider range of examination-answering techniques.</w:t>
      </w:r>
    </w:p>
    <w:p w:rsidR="005F178E" w:rsidRDefault="005F178E" w:rsidP="00D03D90">
      <w:pPr>
        <w:pStyle w:val="BodyText1"/>
      </w:pPr>
      <w:r w:rsidRPr="005F178E">
        <w:t xml:space="preserve">The mean mark for each question in Section A is shown in the </w:t>
      </w:r>
      <w:r w:rsidR="00D03D90">
        <w:t>following table:</w:t>
      </w:r>
    </w:p>
    <w:p w:rsidR="00D03D90" w:rsidRDefault="00D03D90">
      <w:pPr>
        <w:rPr>
          <w:rFonts w:ascii="Arial" w:hAnsi="Arial"/>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727"/>
        <w:gridCol w:w="1587"/>
        <w:gridCol w:w="1587"/>
        <w:gridCol w:w="1587"/>
      </w:tblGrid>
      <w:tr w:rsidR="00126BC4" w:rsidRPr="007901D9" w:rsidTr="00402EB7">
        <w:trPr>
          <w:trHeight w:val="340"/>
          <w:tblHeader/>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sidRPr="007901D9">
              <w:rPr>
                <w:rFonts w:ascii="Arial" w:hAnsi="Arial"/>
                <w:b w:val="0"/>
                <w:sz w:val="22"/>
                <w:szCs w:val="22"/>
              </w:rPr>
              <w:t>Question</w:t>
            </w:r>
          </w:p>
        </w:tc>
        <w:tc>
          <w:tcPr>
            <w:tcW w:w="1587" w:type="dxa"/>
            <w:vAlign w:val="center"/>
          </w:tcPr>
          <w:p w:rsidR="00126BC4" w:rsidRPr="007901D9" w:rsidRDefault="00126BC4" w:rsidP="00D03D90">
            <w:pPr>
              <w:pStyle w:val="AssessmentTypeHeading"/>
              <w:spacing w:before="0"/>
              <w:jc w:val="center"/>
              <w:rPr>
                <w:rFonts w:ascii="Arial" w:hAnsi="Arial"/>
                <w:b w:val="0"/>
                <w:sz w:val="22"/>
                <w:szCs w:val="22"/>
              </w:rPr>
            </w:pPr>
            <w:r w:rsidRPr="007901D9">
              <w:rPr>
                <w:rFonts w:ascii="Arial" w:hAnsi="Arial"/>
                <w:b w:val="0"/>
                <w:sz w:val="22"/>
                <w:szCs w:val="22"/>
              </w:rPr>
              <w:t>Maximum Mark</w:t>
            </w:r>
          </w:p>
        </w:tc>
        <w:tc>
          <w:tcPr>
            <w:tcW w:w="1587" w:type="dxa"/>
            <w:vAlign w:val="center"/>
          </w:tcPr>
          <w:p w:rsidR="00126BC4" w:rsidRPr="007901D9" w:rsidRDefault="00126BC4" w:rsidP="00D03D90">
            <w:pPr>
              <w:pStyle w:val="AssessmentTypeHeading"/>
              <w:spacing w:before="0"/>
              <w:jc w:val="center"/>
              <w:rPr>
                <w:rFonts w:ascii="Arial" w:hAnsi="Arial"/>
                <w:b w:val="0"/>
                <w:sz w:val="22"/>
                <w:szCs w:val="22"/>
              </w:rPr>
            </w:pPr>
            <w:r w:rsidRPr="007901D9">
              <w:rPr>
                <w:rFonts w:ascii="Arial" w:hAnsi="Arial"/>
                <w:b w:val="0"/>
                <w:sz w:val="22"/>
                <w:szCs w:val="22"/>
              </w:rPr>
              <w:t>Mean Mark</w:t>
            </w:r>
          </w:p>
        </w:tc>
        <w:tc>
          <w:tcPr>
            <w:tcW w:w="1587" w:type="dxa"/>
            <w:tcBorders>
              <w:righ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sidRPr="007901D9">
              <w:rPr>
                <w:rFonts w:ascii="Arial" w:hAnsi="Arial"/>
                <w:b w:val="0"/>
                <w:sz w:val="22"/>
                <w:szCs w:val="22"/>
              </w:rPr>
              <w:t>Mean (%)</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1.59</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79</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2.89</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72</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3</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1.83</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92</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2.21</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55</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5</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2.62</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65</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6</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2.49</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62</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7</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2.93</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73</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8</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2.36</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59</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9</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1.70</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43</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10</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1.97</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49</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11</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2.00</w:t>
            </w:r>
          </w:p>
        </w:tc>
        <w:tc>
          <w:tcPr>
            <w:tcW w:w="1587" w:type="dxa"/>
            <w:tcBorders>
              <w:right w:val="single" w:sz="4" w:space="0" w:color="auto"/>
            </w:tcBorders>
            <w:vAlign w:val="center"/>
          </w:tcPr>
          <w:p w:rsidR="00126BC4" w:rsidRDefault="00126BC4" w:rsidP="00D03D90">
            <w:pPr>
              <w:jc w:val="center"/>
              <w:rPr>
                <w:rFonts w:ascii="Arial" w:hAnsi="Arial" w:cs="Arial"/>
                <w:color w:val="000000"/>
                <w:szCs w:val="22"/>
              </w:rPr>
            </w:pPr>
            <w:r>
              <w:rPr>
                <w:rFonts w:ascii="Arial" w:hAnsi="Arial" w:cs="Arial"/>
                <w:color w:val="000000"/>
                <w:szCs w:val="22"/>
              </w:rPr>
              <w:t>50</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0.65</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32</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13</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2.81</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70</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2.09</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52</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15</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2.34</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59</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16</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1.56</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78</w:t>
            </w:r>
          </w:p>
        </w:tc>
      </w:tr>
      <w:tr w:rsidR="00126BC4" w:rsidRPr="007901D9" w:rsidTr="00402EB7">
        <w:trPr>
          <w:trHeight w:val="340"/>
          <w:jc w:val="center"/>
        </w:trPr>
        <w:tc>
          <w:tcPr>
            <w:tcW w:w="1727" w:type="dxa"/>
            <w:tcBorders>
              <w:left w:val="single" w:sz="4" w:space="0" w:color="auto"/>
              <w:bottom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lastRenderedPageBreak/>
              <w:t>17</w:t>
            </w:r>
          </w:p>
        </w:tc>
        <w:tc>
          <w:tcPr>
            <w:tcW w:w="1587" w:type="dxa"/>
            <w:tcBorders>
              <w:bottom w:val="single" w:sz="4" w:space="0" w:color="auto"/>
            </w:tcBorders>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tcBorders>
              <w:bottom w:val="single" w:sz="4" w:space="0" w:color="auto"/>
            </w:tcBorders>
            <w:vAlign w:val="center"/>
          </w:tcPr>
          <w:p w:rsidR="00126BC4" w:rsidRDefault="00126BC4" w:rsidP="00D03D90">
            <w:pPr>
              <w:jc w:val="center"/>
              <w:rPr>
                <w:rFonts w:ascii="Arial" w:hAnsi="Arial" w:cs="Arial"/>
                <w:color w:val="000000"/>
                <w:szCs w:val="22"/>
              </w:rPr>
            </w:pPr>
            <w:r>
              <w:rPr>
                <w:rFonts w:ascii="Arial" w:hAnsi="Arial" w:cs="Arial"/>
                <w:color w:val="000000"/>
                <w:szCs w:val="22"/>
              </w:rPr>
              <w:t>2.39</w:t>
            </w:r>
          </w:p>
        </w:tc>
        <w:tc>
          <w:tcPr>
            <w:tcW w:w="1587" w:type="dxa"/>
            <w:tcBorders>
              <w:bottom w:val="single" w:sz="4" w:space="0" w:color="auto"/>
              <w:right w:val="single" w:sz="4" w:space="0" w:color="auto"/>
            </w:tcBorders>
            <w:vAlign w:val="center"/>
          </w:tcPr>
          <w:p w:rsidR="00126BC4" w:rsidRDefault="00126BC4" w:rsidP="00D03D90">
            <w:pPr>
              <w:jc w:val="center"/>
              <w:rPr>
                <w:rFonts w:ascii="Arial" w:hAnsi="Arial" w:cs="Arial"/>
                <w:color w:val="000000"/>
                <w:szCs w:val="22"/>
              </w:rPr>
            </w:pPr>
            <w:r>
              <w:rPr>
                <w:rFonts w:ascii="Arial" w:hAnsi="Arial" w:cs="Arial"/>
                <w:color w:val="000000"/>
                <w:szCs w:val="22"/>
              </w:rPr>
              <w:t>60</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18</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3.36</w:t>
            </w:r>
          </w:p>
        </w:tc>
        <w:tc>
          <w:tcPr>
            <w:tcW w:w="1587" w:type="dxa"/>
            <w:tcBorders>
              <w:right w:val="single" w:sz="4" w:space="0" w:color="auto"/>
            </w:tcBorders>
            <w:vAlign w:val="center"/>
          </w:tcPr>
          <w:p w:rsidR="00126BC4" w:rsidRDefault="00126BC4" w:rsidP="00D03D90">
            <w:pPr>
              <w:jc w:val="center"/>
              <w:rPr>
                <w:rFonts w:ascii="Arial" w:hAnsi="Arial" w:cs="Arial"/>
                <w:color w:val="000000"/>
                <w:szCs w:val="22"/>
              </w:rPr>
            </w:pPr>
            <w:r>
              <w:rPr>
                <w:rFonts w:ascii="Arial" w:hAnsi="Arial" w:cs="Arial"/>
                <w:color w:val="000000"/>
                <w:szCs w:val="22"/>
              </w:rPr>
              <w:t>84</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19</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2.65</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66</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20</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4</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2.79</w:t>
            </w:r>
          </w:p>
        </w:tc>
        <w:tc>
          <w:tcPr>
            <w:tcW w:w="1587" w:type="dxa"/>
            <w:tcBorders>
              <w:right w:val="single" w:sz="4" w:space="0" w:color="auto"/>
            </w:tcBorders>
            <w:vAlign w:val="center"/>
          </w:tcPr>
          <w:p w:rsidR="00126BC4" w:rsidRDefault="00126BC4" w:rsidP="00D03D90">
            <w:pPr>
              <w:jc w:val="center"/>
              <w:rPr>
                <w:rFonts w:ascii="Arial" w:hAnsi="Arial" w:cs="Arial"/>
                <w:color w:val="000000"/>
                <w:szCs w:val="22"/>
              </w:rPr>
            </w:pPr>
            <w:r>
              <w:rPr>
                <w:rFonts w:ascii="Arial" w:hAnsi="Arial" w:cs="Arial"/>
                <w:color w:val="000000"/>
                <w:szCs w:val="22"/>
              </w:rPr>
              <w:t>70</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21</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0.96</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48</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22</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6</w:t>
            </w:r>
          </w:p>
        </w:tc>
        <w:tc>
          <w:tcPr>
            <w:tcW w:w="1587" w:type="dxa"/>
            <w:vAlign w:val="center"/>
          </w:tcPr>
          <w:p w:rsidR="00126BC4" w:rsidRDefault="00126BC4" w:rsidP="00D03D90">
            <w:pPr>
              <w:jc w:val="center"/>
              <w:rPr>
                <w:rFonts w:ascii="Arial" w:hAnsi="Arial" w:cs="Arial"/>
                <w:color w:val="000000"/>
                <w:szCs w:val="22"/>
              </w:rPr>
            </w:pPr>
            <w:r>
              <w:rPr>
                <w:rFonts w:ascii="Arial" w:hAnsi="Arial" w:cs="Arial"/>
                <w:color w:val="000000"/>
                <w:szCs w:val="22"/>
              </w:rPr>
              <w:t>3.13</w:t>
            </w:r>
          </w:p>
        </w:tc>
        <w:tc>
          <w:tcPr>
            <w:tcW w:w="1587" w:type="dxa"/>
            <w:tcBorders>
              <w:right w:val="single" w:sz="4" w:space="0" w:color="auto"/>
            </w:tcBorders>
            <w:vAlign w:val="center"/>
          </w:tcPr>
          <w:p w:rsidR="00126BC4" w:rsidRDefault="00126BC4" w:rsidP="00194EC1">
            <w:pPr>
              <w:jc w:val="center"/>
              <w:rPr>
                <w:rFonts w:ascii="Arial" w:hAnsi="Arial" w:cs="Arial"/>
                <w:color w:val="000000"/>
                <w:szCs w:val="22"/>
              </w:rPr>
            </w:pPr>
            <w:r>
              <w:rPr>
                <w:rFonts w:ascii="Arial" w:hAnsi="Arial" w:cs="Arial"/>
                <w:color w:val="000000"/>
                <w:szCs w:val="22"/>
              </w:rPr>
              <w:t>52</w:t>
            </w:r>
          </w:p>
        </w:tc>
      </w:tr>
      <w:tr w:rsidR="00126BC4" w:rsidRPr="007901D9" w:rsidTr="00402EB7">
        <w:trPr>
          <w:trHeight w:val="340"/>
          <w:jc w:val="center"/>
        </w:trPr>
        <w:tc>
          <w:tcPr>
            <w:tcW w:w="1727" w:type="dxa"/>
            <w:tcBorders>
              <w:left w:val="single" w:sz="4" w:space="0" w:color="auto"/>
            </w:tcBorders>
            <w:vAlign w:val="center"/>
          </w:tcPr>
          <w:p w:rsidR="00126BC4" w:rsidRPr="007901D9" w:rsidRDefault="00126BC4">
            <w:pPr>
              <w:pStyle w:val="AssessmentTypeHeading"/>
              <w:spacing w:before="0"/>
              <w:jc w:val="center"/>
              <w:rPr>
                <w:rFonts w:ascii="Arial" w:hAnsi="Arial"/>
                <w:b w:val="0"/>
                <w:sz w:val="22"/>
                <w:szCs w:val="22"/>
              </w:rPr>
            </w:pPr>
            <w:r w:rsidRPr="007901D9">
              <w:rPr>
                <w:rFonts w:ascii="Arial" w:hAnsi="Arial"/>
                <w:b w:val="0"/>
                <w:sz w:val="22"/>
                <w:szCs w:val="22"/>
              </w:rPr>
              <w:t xml:space="preserve">Section A </w:t>
            </w:r>
            <w:r>
              <w:rPr>
                <w:rFonts w:ascii="Arial" w:hAnsi="Arial"/>
                <w:b w:val="0"/>
                <w:sz w:val="22"/>
                <w:szCs w:val="22"/>
              </w:rPr>
              <w:t>T</w:t>
            </w:r>
            <w:r w:rsidRPr="007901D9">
              <w:rPr>
                <w:rFonts w:ascii="Arial" w:hAnsi="Arial"/>
                <w:b w:val="0"/>
                <w:sz w:val="22"/>
                <w:szCs w:val="22"/>
              </w:rPr>
              <w:t>otal</w:t>
            </w:r>
          </w:p>
        </w:tc>
        <w:tc>
          <w:tcPr>
            <w:tcW w:w="1587" w:type="dxa"/>
            <w:vAlign w:val="center"/>
          </w:tcPr>
          <w:p w:rsidR="00126BC4" w:rsidRDefault="00126BC4" w:rsidP="00D03D90">
            <w:pPr>
              <w:pStyle w:val="AssessmentTypeHeading"/>
              <w:spacing w:before="0"/>
              <w:jc w:val="center"/>
              <w:rPr>
                <w:rFonts w:ascii="Arial" w:hAnsi="Arial"/>
                <w:b w:val="0"/>
                <w:sz w:val="22"/>
                <w:szCs w:val="22"/>
              </w:rPr>
            </w:pPr>
            <w:r>
              <w:rPr>
                <w:rFonts w:ascii="Arial" w:hAnsi="Arial"/>
                <w:b w:val="0"/>
                <w:sz w:val="22"/>
                <w:szCs w:val="22"/>
              </w:rPr>
              <w:t>80</w:t>
            </w:r>
          </w:p>
        </w:tc>
        <w:tc>
          <w:tcPr>
            <w:tcW w:w="1587" w:type="dxa"/>
            <w:vAlign w:val="center"/>
          </w:tcPr>
          <w:p w:rsidR="00126BC4" w:rsidRPr="007901D9" w:rsidRDefault="00126BC4" w:rsidP="00D03D90">
            <w:pPr>
              <w:pStyle w:val="AssessmentTypeHeading"/>
              <w:spacing w:before="0"/>
              <w:jc w:val="center"/>
              <w:rPr>
                <w:rFonts w:ascii="Arial" w:hAnsi="Arial"/>
                <w:b w:val="0"/>
                <w:sz w:val="22"/>
                <w:szCs w:val="22"/>
              </w:rPr>
            </w:pPr>
            <w:r>
              <w:rPr>
                <w:rFonts w:ascii="Arial" w:hAnsi="Arial"/>
                <w:b w:val="0"/>
                <w:sz w:val="22"/>
                <w:szCs w:val="22"/>
              </w:rPr>
              <w:t>49.32</w:t>
            </w:r>
          </w:p>
        </w:tc>
        <w:tc>
          <w:tcPr>
            <w:tcW w:w="1587" w:type="dxa"/>
            <w:tcBorders>
              <w:right w:val="single" w:sz="4" w:space="0" w:color="auto"/>
            </w:tcBorders>
            <w:vAlign w:val="center"/>
          </w:tcPr>
          <w:p w:rsidR="00126BC4" w:rsidRPr="007901D9" w:rsidRDefault="00126BC4" w:rsidP="00194EC1">
            <w:pPr>
              <w:pStyle w:val="AssessmentTypeHeading"/>
              <w:spacing w:before="0"/>
              <w:jc w:val="center"/>
              <w:rPr>
                <w:rFonts w:ascii="Arial" w:hAnsi="Arial"/>
                <w:b w:val="0"/>
                <w:sz w:val="22"/>
                <w:szCs w:val="22"/>
              </w:rPr>
            </w:pPr>
            <w:r>
              <w:rPr>
                <w:rFonts w:ascii="Arial" w:hAnsi="Arial"/>
                <w:b w:val="0"/>
                <w:sz w:val="22"/>
                <w:szCs w:val="22"/>
              </w:rPr>
              <w:t>62</w:t>
            </w:r>
          </w:p>
        </w:tc>
      </w:tr>
    </w:tbl>
    <w:p w:rsidR="00F111E7" w:rsidRPr="00FA01B3" w:rsidRDefault="000444AD" w:rsidP="00157737">
      <w:pPr>
        <w:pStyle w:val="Heading3"/>
      </w:pPr>
      <w:r w:rsidRPr="000444AD">
        <w:t>Question 1</w:t>
      </w:r>
    </w:p>
    <w:p w:rsidR="00F111E7" w:rsidRPr="002B2972" w:rsidRDefault="002B2972" w:rsidP="00D03D90">
      <w:pPr>
        <w:pStyle w:val="BodyText1"/>
      </w:pPr>
      <w:r w:rsidRPr="002B2972">
        <w:t xml:space="preserve">This question on </w:t>
      </w:r>
      <w:r w:rsidR="008B777D">
        <w:t xml:space="preserve">the </w:t>
      </w:r>
      <w:r w:rsidRPr="002B2972">
        <w:t xml:space="preserve">limitations of </w:t>
      </w:r>
      <w:r w:rsidR="008B777D">
        <w:t xml:space="preserve">a </w:t>
      </w:r>
      <w:r w:rsidRPr="002B2972">
        <w:t>sample was most</w:t>
      </w:r>
      <w:r w:rsidR="00DF556F">
        <w:t xml:space="preserve"> commonly answered correctly</w:t>
      </w:r>
      <w:r w:rsidR="008B777D">
        <w:t>,</w:t>
      </w:r>
      <w:r w:rsidR="00DF556F">
        <w:t xml:space="preserve"> with</w:t>
      </w:r>
      <w:r w:rsidRPr="002B2972">
        <w:t xml:space="preserve"> student</w:t>
      </w:r>
      <w:r>
        <w:t>s describing the sam</w:t>
      </w:r>
      <w:r w:rsidRPr="002B2972">
        <w:t>ple as being too small to represent the population.</w:t>
      </w:r>
      <w:r w:rsidR="00297E69">
        <w:t xml:space="preserve"> </w:t>
      </w:r>
      <w:r w:rsidRPr="002B2972">
        <w:t xml:space="preserve">Many students lost </w:t>
      </w:r>
      <w:r w:rsidR="00480969">
        <w:t>1</w:t>
      </w:r>
      <w:r w:rsidRPr="002B2972">
        <w:t xml:space="preserve"> mark for only offering ‘the sample size is too small’ and not describing the limitation associated with this.</w:t>
      </w:r>
    </w:p>
    <w:p w:rsidR="000444AD" w:rsidRDefault="000444AD" w:rsidP="00157737">
      <w:pPr>
        <w:pStyle w:val="Heading3"/>
      </w:pPr>
      <w:r w:rsidRPr="000444AD">
        <w:t>Question 2</w:t>
      </w:r>
    </w:p>
    <w:p w:rsidR="00F111E7" w:rsidRDefault="00F35112" w:rsidP="00D03D90">
      <w:pPr>
        <w:pStyle w:val="BodyText1"/>
      </w:pPr>
      <w:r w:rsidRPr="002B2972">
        <w:t xml:space="preserve">This question on </w:t>
      </w:r>
      <w:r>
        <w:t>the difference between validity and reliability produced a full range of marks in student responses.</w:t>
      </w:r>
      <w:r w:rsidR="00297E69">
        <w:t xml:space="preserve"> </w:t>
      </w:r>
      <w:r>
        <w:t>Many students understood one concept but not the other, most commonly reliability was less well understood.</w:t>
      </w:r>
      <w:r w:rsidR="00297E69">
        <w:t xml:space="preserve"> </w:t>
      </w:r>
      <w:r>
        <w:t>Some students answered with two definitions but did not relate th</w:t>
      </w:r>
      <w:r w:rsidR="008B777D">
        <w:t>ese</w:t>
      </w:r>
      <w:r>
        <w:t xml:space="preserve"> back to the monitor in the scenario of the question.</w:t>
      </w:r>
    </w:p>
    <w:p w:rsidR="000444AD" w:rsidRDefault="000444AD" w:rsidP="00157737">
      <w:pPr>
        <w:pStyle w:val="Heading3"/>
      </w:pPr>
      <w:r w:rsidRPr="000444AD">
        <w:t>Question 3</w:t>
      </w:r>
    </w:p>
    <w:p w:rsidR="00F35112" w:rsidRDefault="00F35112" w:rsidP="00D03D90">
      <w:pPr>
        <w:pStyle w:val="BodyText1"/>
      </w:pPr>
      <w:r>
        <w:t>With the highest mean of the exam, this question on ethical issues in research was answered correctly by the majority of students.</w:t>
      </w:r>
    </w:p>
    <w:p w:rsidR="000444AD" w:rsidRDefault="000444AD" w:rsidP="00157737">
      <w:pPr>
        <w:pStyle w:val="Heading3"/>
      </w:pPr>
      <w:r w:rsidRPr="000444AD">
        <w:t>Question 4</w:t>
      </w:r>
    </w:p>
    <w:p w:rsidR="00F35112" w:rsidRDefault="00991FF5" w:rsidP="00D03D90">
      <w:pPr>
        <w:pStyle w:val="BodyText1"/>
      </w:pPr>
      <w:r>
        <w:t>Content analysis</w:t>
      </w:r>
      <w:r w:rsidR="001E452E">
        <w:t xml:space="preserve"> was well understood and the procedure described correctly by most students. The most common error was for students to answer with a description of how to conduct a focus group.</w:t>
      </w:r>
    </w:p>
    <w:p w:rsidR="000444AD" w:rsidRDefault="000444AD" w:rsidP="00157737">
      <w:pPr>
        <w:pStyle w:val="Heading3"/>
      </w:pPr>
      <w:r w:rsidRPr="000444AD">
        <w:t>Question 5</w:t>
      </w:r>
    </w:p>
    <w:p w:rsidR="00312B0C" w:rsidRDefault="001E452E" w:rsidP="00D03D90">
      <w:pPr>
        <w:pStyle w:val="BodyText1"/>
      </w:pPr>
      <w:r>
        <w:t>The most frequent answer about experimental design was to focus on the presence of a control group and how this allows causation.</w:t>
      </w:r>
      <w:r w:rsidR="00297E69">
        <w:t xml:space="preserve"> </w:t>
      </w:r>
      <w:r>
        <w:t>Some students lost marks by not referring back to the scenario.</w:t>
      </w:r>
    </w:p>
    <w:p w:rsidR="000444AD" w:rsidRDefault="000444AD" w:rsidP="00157737">
      <w:pPr>
        <w:pStyle w:val="Heading3"/>
      </w:pPr>
      <w:r w:rsidRPr="000444AD">
        <w:t>Question 6</w:t>
      </w:r>
    </w:p>
    <w:p w:rsidR="00312B0C" w:rsidRDefault="000A5992" w:rsidP="00D03D90">
      <w:pPr>
        <w:pStyle w:val="BodyText1"/>
      </w:pPr>
      <w:r>
        <w:t>This question</w:t>
      </w:r>
      <w:r w:rsidR="004B7763">
        <w:t>, which</w:t>
      </w:r>
      <w:r>
        <w:t xml:space="preserve"> tested scientific numeracy and, in particular</w:t>
      </w:r>
      <w:r w:rsidR="00FB23D8">
        <w:t>,</w:t>
      </w:r>
      <w:r>
        <w:t xml:space="preserve"> the ability to derive information from graphs</w:t>
      </w:r>
      <w:r w:rsidR="004B7763">
        <w:t>, was generally well done</w:t>
      </w:r>
      <w:r>
        <w:t>.</w:t>
      </w:r>
      <w:r w:rsidR="00297E69">
        <w:t xml:space="preserve"> </w:t>
      </w:r>
      <w:r w:rsidR="004B7763">
        <w:t xml:space="preserve">However </w:t>
      </w:r>
      <w:r>
        <w:t xml:space="preserve">it is evident that standard deviation and its connection to the mean </w:t>
      </w:r>
      <w:r w:rsidR="008B777D">
        <w:t>are</w:t>
      </w:r>
      <w:r>
        <w:t xml:space="preserve"> not completely understood by all students.</w:t>
      </w:r>
      <w:r w:rsidR="00297E69">
        <w:t xml:space="preserve"> </w:t>
      </w:r>
      <w:r>
        <w:t>Some students were unable to effectively interpret the graph and confused the frequency and heart rates.</w:t>
      </w:r>
    </w:p>
    <w:p w:rsidR="000844EB" w:rsidRDefault="000844EB" w:rsidP="000444AD">
      <w:pPr>
        <w:pStyle w:val="BodyText1"/>
        <w:rPr>
          <w:b/>
        </w:rPr>
      </w:pPr>
    </w:p>
    <w:p w:rsidR="000444AD" w:rsidRDefault="000444AD" w:rsidP="00157737">
      <w:pPr>
        <w:pStyle w:val="Heading3"/>
      </w:pPr>
      <w:r w:rsidRPr="000444AD">
        <w:lastRenderedPageBreak/>
        <w:t>Question 7</w:t>
      </w:r>
    </w:p>
    <w:p w:rsidR="00312B0C" w:rsidRDefault="000A5992" w:rsidP="00D03D90">
      <w:pPr>
        <w:pStyle w:val="BodyText1"/>
      </w:pPr>
      <w:r>
        <w:t xml:space="preserve">This first question on </w:t>
      </w:r>
      <w:r w:rsidR="004524B7">
        <w:t xml:space="preserve">the </w:t>
      </w:r>
      <w:r>
        <w:t>Learning</w:t>
      </w:r>
      <w:r w:rsidR="004524B7">
        <w:t xml:space="preserve"> topic</w:t>
      </w:r>
      <w:r>
        <w:t xml:space="preserve">, </w:t>
      </w:r>
      <w:r w:rsidR="008B777D">
        <w:t>specifically</w:t>
      </w:r>
      <w:r>
        <w:t xml:space="preserve"> negative reinforcement</w:t>
      </w:r>
      <w:r w:rsidR="008B777D">
        <w:t>,</w:t>
      </w:r>
      <w:r>
        <w:t xml:space="preserve"> posed few problems</w:t>
      </w:r>
      <w:r w:rsidR="008B777D">
        <w:t>,</w:t>
      </w:r>
      <w:r>
        <w:t xml:space="preserve"> with most students able to answer correctly. Marks were usually lost where </w:t>
      </w:r>
      <w:r w:rsidR="002D65CB">
        <w:t>students gave incomplete or vague descriptions of negative reinforcement.</w:t>
      </w:r>
    </w:p>
    <w:p w:rsidR="000444AD" w:rsidRDefault="000444AD" w:rsidP="00157737">
      <w:pPr>
        <w:pStyle w:val="Heading3"/>
      </w:pPr>
      <w:r w:rsidRPr="000444AD">
        <w:t>Question 8</w:t>
      </w:r>
    </w:p>
    <w:p w:rsidR="00312B0C" w:rsidRDefault="006E7189" w:rsidP="00D03D90">
      <w:pPr>
        <w:pStyle w:val="BodyText1"/>
      </w:pPr>
      <w:r>
        <w:t xml:space="preserve">This question highlighted those students who could clearly demonstrate their definitions of key terms and show application through </w:t>
      </w:r>
      <w:r w:rsidR="00C40BCE">
        <w:t>their chosen example in part</w:t>
      </w:r>
      <w:r w:rsidR="008B777D">
        <w:t> </w:t>
      </w:r>
      <w:r w:rsidR="00C40BCE">
        <w:t>(b).</w:t>
      </w:r>
      <w:r w:rsidR="00297E69">
        <w:t xml:space="preserve"> </w:t>
      </w:r>
      <w:r w:rsidR="00C40BCE">
        <w:t>Some students were unable to clearly define their chosen schedule, often confusing intervals and ratios.</w:t>
      </w:r>
      <w:r w:rsidR="00297E69">
        <w:t xml:space="preserve"> </w:t>
      </w:r>
      <w:r w:rsidR="00C40BCE">
        <w:t>Another common mistake was to state that positive reinforcement is in itself a schedule.</w:t>
      </w:r>
    </w:p>
    <w:p w:rsidR="000444AD" w:rsidRDefault="000444AD" w:rsidP="00157737">
      <w:pPr>
        <w:pStyle w:val="Heading3"/>
      </w:pPr>
      <w:r w:rsidRPr="000444AD">
        <w:t>Question 9</w:t>
      </w:r>
    </w:p>
    <w:p w:rsidR="00312B0C" w:rsidRDefault="00E47DF7" w:rsidP="00D03D90">
      <w:pPr>
        <w:pStyle w:val="BodyText1"/>
      </w:pPr>
      <w:r>
        <w:t>A variety of answers were offered for this question on acquisition and performance phases in classical conditioning.</w:t>
      </w:r>
      <w:r w:rsidR="00297E69">
        <w:t xml:space="preserve"> </w:t>
      </w:r>
      <w:r>
        <w:t>Many students misread the question and tried to fit the terms to observational learning.</w:t>
      </w:r>
      <w:r w:rsidR="00297E69">
        <w:t xml:space="preserve"> </w:t>
      </w:r>
      <w:r>
        <w:t>Others produced a jumble of terminology</w:t>
      </w:r>
      <w:r w:rsidR="00445801">
        <w:t xml:space="preserve"> related to stimulus and response</w:t>
      </w:r>
      <w:r w:rsidR="00DD7C1A">
        <w:t>,</w:t>
      </w:r>
      <w:r>
        <w:t xml:space="preserve"> including </w:t>
      </w:r>
      <w:r w:rsidR="00DD7C1A">
        <w:t>unconditioned stimulus, unconditioned response, conditioned stimulus, and conditioned response</w:t>
      </w:r>
      <w:r w:rsidR="00E318F2">
        <w:t>,</w:t>
      </w:r>
      <w:r>
        <w:t xml:space="preserve"> without a clear sense of how the</w:t>
      </w:r>
      <w:r w:rsidR="00DD7C1A">
        <w:t>se terms</w:t>
      </w:r>
      <w:r>
        <w:t xml:space="preserve"> are connected to the phases of learning.</w:t>
      </w:r>
      <w:r w:rsidR="00297E69">
        <w:t xml:space="preserve"> </w:t>
      </w:r>
      <w:r w:rsidR="0017613B">
        <w:t>A greater than average number of students left this question blank.</w:t>
      </w:r>
      <w:r w:rsidR="00297E69">
        <w:t xml:space="preserve"> </w:t>
      </w:r>
      <w:r w:rsidR="0017613B">
        <w:t>This highlights the need for students to cover all required aspects of the course according to the subject outline.</w:t>
      </w:r>
    </w:p>
    <w:p w:rsidR="000444AD" w:rsidRDefault="000444AD" w:rsidP="00157737">
      <w:pPr>
        <w:pStyle w:val="Heading3"/>
      </w:pPr>
      <w:r w:rsidRPr="000444AD">
        <w:t>Question 10</w:t>
      </w:r>
      <w:bookmarkStart w:id="0" w:name="_GoBack"/>
      <w:bookmarkEnd w:id="0"/>
    </w:p>
    <w:p w:rsidR="00312B0C" w:rsidRDefault="0017613B" w:rsidP="00D03D90">
      <w:pPr>
        <w:pStyle w:val="BodyText1"/>
      </w:pPr>
      <w:r>
        <w:t xml:space="preserve">Stimulus discrimination </w:t>
      </w:r>
      <w:r w:rsidR="004908D2">
        <w:t>brought up a range of misunderstandings in student responses.</w:t>
      </w:r>
      <w:r w:rsidR="00297E69">
        <w:t xml:space="preserve"> </w:t>
      </w:r>
      <w:r w:rsidR="004908D2">
        <w:t xml:space="preserve">Many students confused the red and green lights and did not clearly describe </w:t>
      </w:r>
      <w:r w:rsidR="00FB23D8">
        <w:t xml:space="preserve">that </w:t>
      </w:r>
      <w:r w:rsidR="004908D2">
        <w:t xml:space="preserve">the association was made with the red light, </w:t>
      </w:r>
      <w:r w:rsidR="00F847AF">
        <w:t>while</w:t>
      </w:r>
      <w:r w:rsidR="004908D2">
        <w:t xml:space="preserve"> no association </w:t>
      </w:r>
      <w:r w:rsidR="00E318F2">
        <w:t xml:space="preserve">was </w:t>
      </w:r>
      <w:r w:rsidR="004908D2">
        <w:t>made with the green light.</w:t>
      </w:r>
      <w:r w:rsidR="00297E69">
        <w:t xml:space="preserve"> </w:t>
      </w:r>
      <w:r w:rsidR="003B5E2D">
        <w:t>Incorrect terminology</w:t>
      </w:r>
      <w:r w:rsidR="00FB23D8">
        <w:t>,</w:t>
      </w:r>
      <w:r w:rsidR="003B5E2D">
        <w:t xml:space="preserve"> such as the pigeon ‘knowing’ that food comes out with the red light</w:t>
      </w:r>
      <w:r w:rsidR="00FB23D8">
        <w:t>,</w:t>
      </w:r>
      <w:r w:rsidR="003B5E2D">
        <w:t xml:space="preserve"> also hindered the </w:t>
      </w:r>
      <w:r w:rsidR="004B7763">
        <w:t xml:space="preserve">scores </w:t>
      </w:r>
      <w:r w:rsidR="003B5E2D">
        <w:t>of many students.</w:t>
      </w:r>
    </w:p>
    <w:p w:rsidR="000444AD" w:rsidRDefault="000444AD" w:rsidP="00157737">
      <w:pPr>
        <w:pStyle w:val="Heading3"/>
      </w:pPr>
      <w:r w:rsidRPr="000444AD">
        <w:t>Question 11</w:t>
      </w:r>
    </w:p>
    <w:p w:rsidR="00312B0C" w:rsidRDefault="003B5E2D" w:rsidP="00D03D90">
      <w:pPr>
        <w:pStyle w:val="BodyText1"/>
      </w:pPr>
      <w:r>
        <w:t>Behaviour modification involves more than one occasion of simple positive reinforcement.</w:t>
      </w:r>
      <w:r w:rsidR="00297E69">
        <w:t xml:space="preserve"> </w:t>
      </w:r>
      <w:r>
        <w:t xml:space="preserve">Students often </w:t>
      </w:r>
      <w:r w:rsidR="004B7763">
        <w:t>lost</w:t>
      </w:r>
      <w:r>
        <w:t xml:space="preserve"> marks by only showing this limited knowledge of the process.</w:t>
      </w:r>
      <w:r w:rsidR="00297E69">
        <w:t xml:space="preserve"> </w:t>
      </w:r>
      <w:r w:rsidR="00A7452F">
        <w:t>It is also important that students do not use punishment in a behaviour</w:t>
      </w:r>
      <w:r w:rsidR="00E318F2">
        <w:t>-</w:t>
      </w:r>
      <w:r w:rsidR="00A7452F">
        <w:t>modification scenario.</w:t>
      </w:r>
    </w:p>
    <w:p w:rsidR="000444AD" w:rsidRDefault="000444AD" w:rsidP="00157737">
      <w:pPr>
        <w:pStyle w:val="Heading3"/>
      </w:pPr>
      <w:r w:rsidRPr="000444AD">
        <w:t>Question 12</w:t>
      </w:r>
    </w:p>
    <w:p w:rsidR="00312B0C" w:rsidRDefault="0045708C" w:rsidP="00D03D90">
      <w:pPr>
        <w:pStyle w:val="BodyText1"/>
      </w:pPr>
      <w:r>
        <w:t>This question showed the lowest mean of the examination.</w:t>
      </w:r>
      <w:r w:rsidR="00297E69">
        <w:t xml:space="preserve"> </w:t>
      </w:r>
      <w:r>
        <w:t>Two issues emerged in student responses</w:t>
      </w:r>
      <w:r w:rsidR="00E318F2">
        <w:t>:</w:t>
      </w:r>
      <w:r>
        <w:t xml:space="preserve"> those that did not clearly understand objective measures and those that suggested measures that have no relevance to personality assessment.</w:t>
      </w:r>
      <w:r w:rsidR="00297E69">
        <w:t xml:space="preserve"> </w:t>
      </w:r>
      <w:r>
        <w:t>A high number of students left the question blank.</w:t>
      </w:r>
    </w:p>
    <w:p w:rsidR="000444AD" w:rsidRDefault="000444AD" w:rsidP="00157737">
      <w:pPr>
        <w:pStyle w:val="Heading3"/>
      </w:pPr>
      <w:r w:rsidRPr="000444AD">
        <w:t>Question 13</w:t>
      </w:r>
    </w:p>
    <w:p w:rsidR="00312B0C" w:rsidRDefault="0045708C" w:rsidP="00D03D90">
      <w:pPr>
        <w:pStyle w:val="BodyText1"/>
      </w:pPr>
      <w:r>
        <w:t>A well-answered question</w:t>
      </w:r>
      <w:r w:rsidR="00E318F2">
        <w:t>;</w:t>
      </w:r>
      <w:r>
        <w:t xml:space="preserve"> most students can effectively apply their knowledge of trait theory.</w:t>
      </w:r>
    </w:p>
    <w:p w:rsidR="000444AD" w:rsidRDefault="000444AD" w:rsidP="00157737">
      <w:pPr>
        <w:pStyle w:val="Heading3"/>
      </w:pPr>
      <w:r w:rsidRPr="000444AD">
        <w:lastRenderedPageBreak/>
        <w:t>Question 14</w:t>
      </w:r>
    </w:p>
    <w:p w:rsidR="00101CCE" w:rsidRPr="00101CCE" w:rsidRDefault="00101CCE" w:rsidP="00D03D90">
      <w:pPr>
        <w:pStyle w:val="BodyText1"/>
      </w:pPr>
      <w:r>
        <w:t xml:space="preserve">In this question </w:t>
      </w:r>
      <w:r w:rsidR="00DF556F">
        <w:t xml:space="preserve">based </w:t>
      </w:r>
      <w:r>
        <w:t>on the difference between humanistic and psychodynamic theories, m</w:t>
      </w:r>
      <w:r w:rsidRPr="00101CCE">
        <w:t>any students summari</w:t>
      </w:r>
      <w:r>
        <w:t>s</w:t>
      </w:r>
      <w:r w:rsidRPr="00101CCE">
        <w:t>ed each conception rather than describing a difference.</w:t>
      </w:r>
      <w:r w:rsidR="00297E69">
        <w:t xml:space="preserve"> </w:t>
      </w:r>
      <w:r w:rsidR="00AF60A0">
        <w:t>Some students demonstrated limited understanding of the meaning of the difference they described by completing their answers with information irrelevant to the theories.</w:t>
      </w:r>
    </w:p>
    <w:p w:rsidR="000444AD" w:rsidRDefault="000444AD" w:rsidP="00157737">
      <w:pPr>
        <w:pStyle w:val="Heading3"/>
      </w:pPr>
      <w:r w:rsidRPr="000444AD">
        <w:t>Question 15</w:t>
      </w:r>
    </w:p>
    <w:p w:rsidR="00312B0C" w:rsidRDefault="00AF60A0" w:rsidP="00D03D90">
      <w:pPr>
        <w:pStyle w:val="BodyText1"/>
      </w:pPr>
      <w:r>
        <w:t xml:space="preserve">Psychodynamic theory and its application to a fictitious person gave rise to a wide range </w:t>
      </w:r>
      <w:r w:rsidR="000A39B4">
        <w:t>of answers from students.</w:t>
      </w:r>
      <w:r w:rsidR="00297E69">
        <w:t xml:space="preserve"> </w:t>
      </w:r>
      <w:r w:rsidR="000A39B4">
        <w:t>For the most part, students demonstrated their understanding of the theory, but often omitted the connection to the scenario.</w:t>
      </w:r>
    </w:p>
    <w:p w:rsidR="000444AD" w:rsidRDefault="000444AD" w:rsidP="00157737">
      <w:pPr>
        <w:pStyle w:val="Heading3"/>
      </w:pPr>
      <w:r w:rsidRPr="000444AD">
        <w:t>Question 16</w:t>
      </w:r>
    </w:p>
    <w:p w:rsidR="00312B0C" w:rsidRDefault="000A39B4" w:rsidP="00D03D90">
      <w:pPr>
        <w:pStyle w:val="BodyText1"/>
      </w:pPr>
      <w:r>
        <w:t xml:space="preserve">This question had the highest mean in the section on Personality, with most students identifying </w:t>
      </w:r>
      <w:r w:rsidR="0014067C">
        <w:t>matching personality traits with suitability for particular jobs in their answer.</w:t>
      </w:r>
    </w:p>
    <w:p w:rsidR="000444AD" w:rsidRDefault="000444AD" w:rsidP="00157737">
      <w:pPr>
        <w:pStyle w:val="Heading3"/>
      </w:pPr>
      <w:r w:rsidRPr="000444AD">
        <w:t>Question 17</w:t>
      </w:r>
    </w:p>
    <w:p w:rsidR="00312B0C" w:rsidRDefault="0014067C" w:rsidP="00D03D90">
      <w:pPr>
        <w:pStyle w:val="BodyText1"/>
      </w:pPr>
      <w:r>
        <w:t xml:space="preserve">Although this </w:t>
      </w:r>
      <w:r w:rsidR="009F76C5">
        <w:t>question asked about ethical issues in personality assessment, most incorrect answers centred on validity and reliability issues without going into the ethical issues arising from this.</w:t>
      </w:r>
    </w:p>
    <w:p w:rsidR="000444AD" w:rsidRDefault="000444AD" w:rsidP="00157737">
      <w:pPr>
        <w:pStyle w:val="Heading3"/>
      </w:pPr>
      <w:r w:rsidRPr="000444AD">
        <w:t>Question 18</w:t>
      </w:r>
    </w:p>
    <w:p w:rsidR="00312B0C" w:rsidRDefault="009F76C5" w:rsidP="00D03D90">
      <w:pPr>
        <w:pStyle w:val="BodyText1"/>
      </w:pPr>
      <w:r>
        <w:t xml:space="preserve">Symptoms of anxiety were easily identified by </w:t>
      </w:r>
      <w:r w:rsidR="00975A4A">
        <w:t>almost all students.</w:t>
      </w:r>
      <w:r w:rsidR="00297E69">
        <w:t xml:space="preserve"> </w:t>
      </w:r>
      <w:r w:rsidR="00975A4A">
        <w:t>Where mistakes were made, it was generally because of listing symptoms from another level of explanation of behaviour.</w:t>
      </w:r>
    </w:p>
    <w:p w:rsidR="000444AD" w:rsidRDefault="000444AD" w:rsidP="00157737">
      <w:pPr>
        <w:pStyle w:val="Heading3"/>
      </w:pPr>
      <w:r w:rsidRPr="000444AD">
        <w:t>Question 19</w:t>
      </w:r>
    </w:p>
    <w:p w:rsidR="00312B0C" w:rsidRDefault="00975A4A" w:rsidP="00D03D90">
      <w:pPr>
        <w:pStyle w:val="BodyText1"/>
      </w:pPr>
      <w:r>
        <w:t>Students demonstrated good understanding of anxiety and factors that contribute to it.</w:t>
      </w:r>
    </w:p>
    <w:p w:rsidR="000444AD" w:rsidRDefault="000444AD" w:rsidP="00157737">
      <w:pPr>
        <w:pStyle w:val="Heading3"/>
      </w:pPr>
      <w:r w:rsidRPr="000444AD">
        <w:t>Question 20</w:t>
      </w:r>
    </w:p>
    <w:p w:rsidR="00312B0C" w:rsidRDefault="009F10B6" w:rsidP="00D03D90">
      <w:pPr>
        <w:pStyle w:val="BodyText1"/>
      </w:pPr>
      <w:r>
        <w:t xml:space="preserve">Some students answered with two very similar responses but the </w:t>
      </w:r>
      <w:r w:rsidR="00975A4A">
        <w:t xml:space="preserve">best answers </w:t>
      </w:r>
      <w:r>
        <w:t xml:space="preserve">used two very different reasons </w:t>
      </w:r>
      <w:r w:rsidR="00975A4A">
        <w:t xml:space="preserve">about </w:t>
      </w:r>
      <w:r>
        <w:t xml:space="preserve">why </w:t>
      </w:r>
      <w:r w:rsidR="00975A4A">
        <w:t>walking with a group would help</w:t>
      </w:r>
      <w:r>
        <w:t xml:space="preserve"> cope with stress</w:t>
      </w:r>
      <w:r w:rsidR="00975A4A">
        <w:t>.</w:t>
      </w:r>
      <w:r w:rsidR="00297E69">
        <w:t xml:space="preserve"> </w:t>
      </w:r>
      <w:r w:rsidR="00975A4A">
        <w:t>Often the benefits of exercise were poorly explained or explained in everyday language with low use of terminology.</w:t>
      </w:r>
    </w:p>
    <w:p w:rsidR="000444AD" w:rsidRDefault="000444AD" w:rsidP="00157737">
      <w:pPr>
        <w:pStyle w:val="Heading3"/>
      </w:pPr>
      <w:r w:rsidRPr="000444AD">
        <w:t>Question 21</w:t>
      </w:r>
    </w:p>
    <w:p w:rsidR="00312B0C" w:rsidRDefault="008D229D" w:rsidP="00D03D90">
      <w:pPr>
        <w:pStyle w:val="BodyText1"/>
      </w:pPr>
      <w:r>
        <w:t>A variety of errors contributed to a low mean score for this question.</w:t>
      </w:r>
      <w:r w:rsidR="00297E69">
        <w:t xml:space="preserve"> </w:t>
      </w:r>
      <w:r>
        <w:t>Some answers did not relate to resilience</w:t>
      </w:r>
      <w:r w:rsidR="00C079CF">
        <w:t>,</w:t>
      </w:r>
      <w:r>
        <w:t xml:space="preserve"> while others did not use the person level of explanation of behaviour.</w:t>
      </w:r>
      <w:r w:rsidR="00297E69">
        <w:t xml:space="preserve"> </w:t>
      </w:r>
      <w:r>
        <w:t>The most common correct answer was an optimistic personality.</w:t>
      </w:r>
    </w:p>
    <w:p w:rsidR="000444AD" w:rsidRDefault="000444AD" w:rsidP="00157737">
      <w:pPr>
        <w:pStyle w:val="Heading3"/>
      </w:pPr>
      <w:r w:rsidRPr="000444AD">
        <w:t>Question 22</w:t>
      </w:r>
    </w:p>
    <w:p w:rsidR="00312B0C" w:rsidRDefault="009E1E34" w:rsidP="00D03D90">
      <w:pPr>
        <w:pStyle w:val="BodyText1"/>
      </w:pPr>
      <w:r>
        <w:t>Answers relating to cognitive-behavioural therapy would be improved with greater use of terminology and a clearer explanation of both the cognitive and behavioural changes that are being sought by the treatment.</w:t>
      </w:r>
      <w:r w:rsidR="00297E69">
        <w:t xml:space="preserve"> </w:t>
      </w:r>
      <w:r>
        <w:t>In part (b), many students gave good answers focused on situations where the cause of depression is biological.</w:t>
      </w:r>
    </w:p>
    <w:p w:rsidR="00312B0C" w:rsidRPr="00312B0C" w:rsidRDefault="00D03D90" w:rsidP="00157737">
      <w:pPr>
        <w:pStyle w:val="Topicheading"/>
      </w:pPr>
      <w:r>
        <w:lastRenderedPageBreak/>
        <w:t xml:space="preserve">Section B: Extended-response </w:t>
      </w:r>
      <w:r w:rsidR="00C079CF">
        <w:t>Q</w:t>
      </w:r>
      <w:r>
        <w:t>uestions</w:t>
      </w:r>
    </w:p>
    <w:p w:rsidR="00312B0C" w:rsidRDefault="00312B0C" w:rsidP="00D03D90">
      <w:pPr>
        <w:pStyle w:val="BodyText1"/>
      </w:pPr>
      <w:r w:rsidRPr="00312B0C">
        <w:t>Each extended-response question was marked out of 20, with 16 marks allocated for content</w:t>
      </w:r>
      <w:r>
        <w:t xml:space="preserve"> </w:t>
      </w:r>
      <w:r w:rsidRPr="00312B0C">
        <w:t xml:space="preserve">(each well-expressed idea or piece of information worth 2 marks) and 4 </w:t>
      </w:r>
      <w:r>
        <w:t>m</w:t>
      </w:r>
      <w:r w:rsidRPr="00312B0C">
        <w:t>arks for</w:t>
      </w:r>
      <w:r>
        <w:t xml:space="preserve"> </w:t>
      </w:r>
      <w:r w:rsidRPr="00312B0C">
        <w:t>communication. Questions 2</w:t>
      </w:r>
      <w:r>
        <w:t>3</w:t>
      </w:r>
      <w:r w:rsidRPr="00312B0C">
        <w:t xml:space="preserve"> and 2</w:t>
      </w:r>
      <w:r>
        <w:t>4</w:t>
      </w:r>
      <w:r w:rsidRPr="00312B0C">
        <w:t xml:space="preserve"> had four content parts, each of which was marked out</w:t>
      </w:r>
      <w:r>
        <w:t xml:space="preserve"> </w:t>
      </w:r>
      <w:r w:rsidRPr="00312B0C">
        <w:t>of 4.</w:t>
      </w:r>
    </w:p>
    <w:p w:rsidR="00312B0C" w:rsidRDefault="00312B0C" w:rsidP="00312B0C">
      <w:pPr>
        <w:rPr>
          <w:rFonts w:ascii="Arial" w:hAnsi="Arial" w:cs="Arial"/>
        </w:rPr>
      </w:pPr>
      <w:r w:rsidRPr="00312B0C">
        <w:rPr>
          <w:rFonts w:ascii="Arial" w:hAnsi="Arial" w:cs="Arial"/>
        </w:rPr>
        <w:t>The following factors were taken into account when a communication mark was awarded:</w:t>
      </w:r>
    </w:p>
    <w:p w:rsidR="00607EF8" w:rsidRPr="00312B0C" w:rsidRDefault="00607EF8" w:rsidP="00312B0C">
      <w:pPr>
        <w:rPr>
          <w:rFonts w:ascii="Arial" w:hAnsi="Arial" w:cs="Arial"/>
        </w:rPr>
      </w:pPr>
    </w:p>
    <w:p w:rsidR="00312B0C" w:rsidRPr="00312B0C" w:rsidRDefault="00312B0C" w:rsidP="00D03D90">
      <w:pPr>
        <w:pStyle w:val="BodyText1"/>
        <w:numPr>
          <w:ilvl w:val="0"/>
          <w:numId w:val="22"/>
        </w:numPr>
        <w:spacing w:before="0" w:after="0"/>
        <w:ind w:left="714" w:hanging="357"/>
      </w:pPr>
      <w:r w:rsidRPr="00312B0C">
        <w:t>Was the answer clear and well expressed?</w:t>
      </w:r>
    </w:p>
    <w:p w:rsidR="00312B0C" w:rsidRPr="00312B0C" w:rsidRDefault="00312B0C" w:rsidP="00D03D90">
      <w:pPr>
        <w:pStyle w:val="BodyText1"/>
        <w:numPr>
          <w:ilvl w:val="0"/>
          <w:numId w:val="22"/>
        </w:numPr>
        <w:spacing w:before="0" w:after="0"/>
        <w:ind w:left="714" w:hanging="357"/>
      </w:pPr>
      <w:r w:rsidRPr="00312B0C">
        <w:t>Was the answer well organised?</w:t>
      </w:r>
    </w:p>
    <w:p w:rsidR="00312B0C" w:rsidRPr="00312B0C" w:rsidRDefault="00312B0C" w:rsidP="00D03D90">
      <w:pPr>
        <w:pStyle w:val="BodyText1"/>
        <w:numPr>
          <w:ilvl w:val="0"/>
          <w:numId w:val="22"/>
        </w:numPr>
        <w:spacing w:before="0" w:after="0"/>
        <w:ind w:left="714" w:hanging="357"/>
      </w:pPr>
      <w:r w:rsidRPr="00312B0C">
        <w:t>Was the answer relevant to the question?</w:t>
      </w:r>
    </w:p>
    <w:p w:rsidR="00312B0C" w:rsidRPr="00312B0C" w:rsidRDefault="00312B0C" w:rsidP="00D03D90">
      <w:pPr>
        <w:pStyle w:val="BodyText1"/>
      </w:pPr>
      <w:r w:rsidRPr="00312B0C">
        <w:t>Nearly all students who sat the examination offered responses to both Question 2</w:t>
      </w:r>
      <w:r>
        <w:t>3</w:t>
      </w:r>
      <w:r w:rsidRPr="00312B0C">
        <w:t xml:space="preserve"> and</w:t>
      </w:r>
      <w:r>
        <w:t xml:space="preserve"> </w:t>
      </w:r>
      <w:r w:rsidRPr="00312B0C">
        <w:t>Question 2</w:t>
      </w:r>
      <w:r>
        <w:t>4</w:t>
      </w:r>
      <w:r w:rsidRPr="00312B0C">
        <w:t>. In general, students produced well-structured responses of an appropriate</w:t>
      </w:r>
      <w:r>
        <w:t xml:space="preserve"> </w:t>
      </w:r>
      <w:r w:rsidRPr="00312B0C">
        <w:t>length. As a general observation, it is the use of everyday language rather than psychology</w:t>
      </w:r>
      <w:r>
        <w:t xml:space="preserve"> </w:t>
      </w:r>
      <w:r w:rsidRPr="00312B0C">
        <w:t>terms that leads to inaccurate answers. Furthermore, students should be made aware that</w:t>
      </w:r>
      <w:r>
        <w:t xml:space="preserve"> </w:t>
      </w:r>
      <w:r w:rsidRPr="00312B0C">
        <w:t>questions asking for discussion require more detailed responses than short-answer</w:t>
      </w:r>
      <w:r>
        <w:t xml:space="preserve"> </w:t>
      </w:r>
      <w:r w:rsidRPr="00312B0C">
        <w:t>questions.</w:t>
      </w:r>
    </w:p>
    <w:p w:rsidR="00312B0C" w:rsidRPr="00FA01B3" w:rsidRDefault="000444AD" w:rsidP="00FA01B3">
      <w:pPr>
        <w:pStyle w:val="italicsheading"/>
        <w:rPr>
          <w:szCs w:val="22"/>
        </w:rPr>
      </w:pPr>
      <w:r w:rsidRPr="000444AD">
        <w:rPr>
          <w:szCs w:val="22"/>
        </w:rPr>
        <w:t>Question 23</w:t>
      </w:r>
    </w:p>
    <w:p w:rsidR="00312B0C" w:rsidRDefault="00312B0C" w:rsidP="00D03D90">
      <w:pPr>
        <w:pStyle w:val="BodyText1"/>
      </w:pPr>
      <w:r w:rsidRPr="00312B0C">
        <w:t>Responses to this question on</w:t>
      </w:r>
      <w:r w:rsidR="004524B7">
        <w:t xml:space="preserve"> the</w:t>
      </w:r>
      <w:r w:rsidRPr="00312B0C">
        <w:t xml:space="preserve"> </w:t>
      </w:r>
      <w:r>
        <w:t xml:space="preserve">Social </w:t>
      </w:r>
      <w:r w:rsidR="004524B7">
        <w:t>C</w:t>
      </w:r>
      <w:r>
        <w:t xml:space="preserve">ognition </w:t>
      </w:r>
      <w:r w:rsidR="004524B7">
        <w:t xml:space="preserve">topic </w:t>
      </w:r>
      <w:r w:rsidRPr="00312B0C">
        <w:t xml:space="preserve">varied in quality, with a mean of </w:t>
      </w:r>
      <w:r>
        <w:t>12.57</w:t>
      </w:r>
      <w:r w:rsidRPr="00312B0C">
        <w:t xml:space="preserve"> marks, or</w:t>
      </w:r>
      <w:r>
        <w:t xml:space="preserve"> </w:t>
      </w:r>
      <w:r w:rsidR="000F59CB">
        <w:t>63</w:t>
      </w:r>
      <w:r w:rsidRPr="00312B0C">
        <w:t>%.</w:t>
      </w:r>
    </w:p>
    <w:p w:rsidR="00312B0C" w:rsidRPr="00157737" w:rsidRDefault="00312B0C" w:rsidP="00157737">
      <w:pPr>
        <w:pStyle w:val="italicsheading"/>
        <w:rPr>
          <w:iCs/>
        </w:rPr>
      </w:pPr>
      <w:r w:rsidRPr="00157737">
        <w:rPr>
          <w:bCs w:val="0"/>
          <w:iCs/>
        </w:rPr>
        <w:t>Dot point one:</w:t>
      </w:r>
      <w:r w:rsidR="0079760B" w:rsidRPr="00157737">
        <w:rPr>
          <w:bCs w:val="0"/>
          <w:iCs/>
        </w:rPr>
        <w:t xml:space="preserve"> factors about the source</w:t>
      </w:r>
    </w:p>
    <w:p w:rsidR="00B0407D" w:rsidRPr="00B0407D" w:rsidRDefault="00B0407D" w:rsidP="00402EB7">
      <w:pPr>
        <w:pStyle w:val="BodyText1"/>
        <w:spacing w:before="120" w:after="120"/>
        <w:ind w:left="284"/>
      </w:pPr>
      <w:r w:rsidRPr="00B0407D">
        <w:t xml:space="preserve">Most students who </w:t>
      </w:r>
      <w:r>
        <w:t>correctly answered this dot point</w:t>
      </w:r>
      <w:r w:rsidRPr="00B0407D">
        <w:t xml:space="preserve"> wrote about the credibility, expertise, attractiveness</w:t>
      </w:r>
      <w:r w:rsidR="00C079CF">
        <w:t>,</w:t>
      </w:r>
      <w:r w:rsidRPr="00B0407D">
        <w:t xml:space="preserve"> or likeability</w:t>
      </w:r>
      <w:r>
        <w:t xml:space="preserve"> of the source</w:t>
      </w:r>
      <w:r w:rsidRPr="00B0407D">
        <w:t xml:space="preserve">. </w:t>
      </w:r>
      <w:r>
        <w:t xml:space="preserve">Common errors included writing </w:t>
      </w:r>
      <w:r w:rsidRPr="00B0407D">
        <w:t xml:space="preserve">about the routes of persuasion, </w:t>
      </w:r>
      <w:r>
        <w:t xml:space="preserve">or </w:t>
      </w:r>
      <w:r w:rsidRPr="00B0407D">
        <w:t>message or audience features.</w:t>
      </w:r>
    </w:p>
    <w:p w:rsidR="000444AD" w:rsidRDefault="0079760B" w:rsidP="00157737">
      <w:pPr>
        <w:pStyle w:val="italicsheading"/>
      </w:pPr>
      <w:r w:rsidRPr="00BD52DF">
        <w:t>Dot point two: features of the message</w:t>
      </w:r>
    </w:p>
    <w:p w:rsidR="0079760B" w:rsidRDefault="00B0407D" w:rsidP="00402EB7">
      <w:pPr>
        <w:pStyle w:val="BodyText1"/>
        <w:spacing w:before="120" w:after="120"/>
        <w:ind w:left="284"/>
      </w:pPr>
      <w:r>
        <w:t>Upon reaching this dot point in their answer, some students had already confused source and message factors and quite often audience factors too.</w:t>
      </w:r>
      <w:r w:rsidR="00297E69">
        <w:t xml:space="preserve"> </w:t>
      </w:r>
      <w:r>
        <w:t>Messages that evoke strong emotion, or target the central or peripheral routes of persuasion by the way they are constructed were common answers.</w:t>
      </w:r>
    </w:p>
    <w:p w:rsidR="0079760B" w:rsidRPr="00BD52DF" w:rsidRDefault="0079760B" w:rsidP="00157737">
      <w:pPr>
        <w:pStyle w:val="italicsheading"/>
      </w:pPr>
      <w:r w:rsidRPr="00BD52DF">
        <w:t xml:space="preserve">Dot point </w:t>
      </w:r>
      <w:r w:rsidR="000728CD" w:rsidRPr="00BD52DF">
        <w:t>three</w:t>
      </w:r>
      <w:r w:rsidRPr="00BD52DF">
        <w:t xml:space="preserve">: </w:t>
      </w:r>
      <w:r w:rsidR="000728CD" w:rsidRPr="00BD52DF">
        <w:t>function of a negative attitude</w:t>
      </w:r>
    </w:p>
    <w:p w:rsidR="0079760B" w:rsidRPr="00B0407D" w:rsidRDefault="00B0407D" w:rsidP="00402EB7">
      <w:pPr>
        <w:pStyle w:val="BodyText1"/>
        <w:spacing w:before="120" w:after="120"/>
        <w:ind w:left="284"/>
      </w:pPr>
      <w:r>
        <w:t>This part of the question was the least well</w:t>
      </w:r>
      <w:r w:rsidR="00C9515F">
        <w:t xml:space="preserve"> </w:t>
      </w:r>
      <w:r>
        <w:t>answered</w:t>
      </w:r>
      <w:r w:rsidR="00C9515F">
        <w:t>,</w:t>
      </w:r>
      <w:r>
        <w:t xml:space="preserve"> with many students giving a general description of how having a negative attitude keeps you healthy</w:t>
      </w:r>
      <w:r w:rsidR="00C9515F">
        <w:t>,</w:t>
      </w:r>
      <w:r>
        <w:t xml:space="preserve"> rather than using a fuller description of the adaptive function.</w:t>
      </w:r>
      <w:r w:rsidR="00297E69">
        <w:t xml:space="preserve"> </w:t>
      </w:r>
      <w:r>
        <w:t>It would seem that many students did not recognise the functions of attitude as a part of the curriculum.</w:t>
      </w:r>
    </w:p>
    <w:p w:rsidR="0079760B" w:rsidRPr="00BD52DF" w:rsidRDefault="0079760B" w:rsidP="00157737">
      <w:pPr>
        <w:pStyle w:val="italicsheading"/>
      </w:pPr>
      <w:r w:rsidRPr="00BD52DF">
        <w:t xml:space="preserve">Dot point </w:t>
      </w:r>
      <w:r w:rsidR="000728CD" w:rsidRPr="00BD52DF">
        <w:t>four</w:t>
      </w:r>
      <w:r w:rsidRPr="00BD52DF">
        <w:t xml:space="preserve">: </w:t>
      </w:r>
      <w:r w:rsidR="000728CD" w:rsidRPr="00BD52DF">
        <w:t>bidirectional relationship</w:t>
      </w:r>
    </w:p>
    <w:p w:rsidR="0079760B" w:rsidRDefault="00A50883" w:rsidP="00402EB7">
      <w:pPr>
        <w:pStyle w:val="BodyText1"/>
        <w:spacing w:before="120" w:after="120"/>
        <w:ind w:left="284"/>
      </w:pPr>
      <w:r>
        <w:t>This dot point produced a variety of answers, mostly correct.</w:t>
      </w:r>
      <w:r w:rsidR="00297E69">
        <w:t xml:space="preserve"> </w:t>
      </w:r>
      <w:r>
        <w:t>Common errors were poor expression around the bidirectional nature and confusion with other concepts such as attitude strength and specificity.</w:t>
      </w:r>
    </w:p>
    <w:p w:rsidR="00A50883" w:rsidRPr="00FA01B3" w:rsidRDefault="000444AD" w:rsidP="00157737">
      <w:pPr>
        <w:pStyle w:val="italicsheading"/>
        <w:spacing w:before="360"/>
        <w:rPr>
          <w:szCs w:val="22"/>
        </w:rPr>
      </w:pPr>
      <w:r w:rsidRPr="000444AD">
        <w:rPr>
          <w:szCs w:val="22"/>
        </w:rPr>
        <w:t>Question 24</w:t>
      </w:r>
    </w:p>
    <w:p w:rsidR="00A50883" w:rsidRDefault="00A50883" w:rsidP="00D03D90">
      <w:pPr>
        <w:pStyle w:val="BodyText1"/>
      </w:pPr>
      <w:r w:rsidRPr="00312B0C">
        <w:t xml:space="preserve">Responses to this question on </w:t>
      </w:r>
      <w:r>
        <w:t xml:space="preserve">Psychobiology of altered states of awareness </w:t>
      </w:r>
      <w:r w:rsidRPr="00312B0C">
        <w:t xml:space="preserve">varied in quality, with a mean of </w:t>
      </w:r>
      <w:r>
        <w:t>12.24</w:t>
      </w:r>
      <w:r w:rsidRPr="00312B0C">
        <w:t xml:space="preserve"> marks, or</w:t>
      </w:r>
      <w:r>
        <w:t xml:space="preserve"> 61</w:t>
      </w:r>
      <w:r w:rsidRPr="00312B0C">
        <w:t>%.</w:t>
      </w:r>
    </w:p>
    <w:p w:rsidR="00A50883" w:rsidRPr="00312B0C" w:rsidRDefault="00A50883" w:rsidP="00157737">
      <w:pPr>
        <w:pStyle w:val="italicsheading"/>
      </w:pPr>
      <w:r w:rsidRPr="00312B0C">
        <w:lastRenderedPageBreak/>
        <w:t>Dot point one:</w:t>
      </w:r>
      <w:r>
        <w:t xml:space="preserve"> two symptoms of sleep deprivation</w:t>
      </w:r>
    </w:p>
    <w:p w:rsidR="00A50883" w:rsidRPr="00B0407D" w:rsidRDefault="00A50883" w:rsidP="00402EB7">
      <w:pPr>
        <w:pStyle w:val="BodyText1"/>
        <w:spacing w:before="120" w:after="120"/>
        <w:ind w:left="284"/>
      </w:pPr>
      <w:r>
        <w:t>Although students could adequately identify symptoms of sleep deprivation, many omitted the connection to performance by the nurses.</w:t>
      </w:r>
    </w:p>
    <w:p w:rsidR="00A50883" w:rsidRPr="00312B0C" w:rsidRDefault="00A50883" w:rsidP="00157737">
      <w:pPr>
        <w:pStyle w:val="italicsheading"/>
      </w:pPr>
      <w:r w:rsidRPr="00312B0C">
        <w:t xml:space="preserve">Dot point </w:t>
      </w:r>
      <w:r>
        <w:t>two</w:t>
      </w:r>
      <w:r w:rsidRPr="00312B0C">
        <w:t>:</w:t>
      </w:r>
      <w:r>
        <w:t xml:space="preserve"> long-term health of nurses</w:t>
      </w:r>
    </w:p>
    <w:p w:rsidR="00A50883" w:rsidRDefault="00A50883" w:rsidP="00402EB7">
      <w:pPr>
        <w:pStyle w:val="BodyText1"/>
        <w:spacing w:before="120" w:after="120"/>
        <w:ind w:left="284"/>
      </w:pPr>
      <w:r>
        <w:t>Most students who answered well used a clear outline of the general adaptation syndrome and how this leads to poor immune functioning.</w:t>
      </w:r>
    </w:p>
    <w:p w:rsidR="00A50883" w:rsidRPr="00312B0C" w:rsidRDefault="00A50883" w:rsidP="00157737">
      <w:pPr>
        <w:pStyle w:val="italicsheading"/>
      </w:pPr>
      <w:r w:rsidRPr="00312B0C">
        <w:t xml:space="preserve">Dot point </w:t>
      </w:r>
      <w:r>
        <w:t>three</w:t>
      </w:r>
      <w:r w:rsidRPr="00312B0C">
        <w:t>:</w:t>
      </w:r>
      <w:r>
        <w:t xml:space="preserve"> strategies to reduce sleep deprivation</w:t>
      </w:r>
    </w:p>
    <w:p w:rsidR="00A50883" w:rsidRPr="00B0407D" w:rsidRDefault="00BD52DF" w:rsidP="00402EB7">
      <w:pPr>
        <w:pStyle w:val="BodyText1"/>
        <w:spacing w:before="120" w:after="120"/>
        <w:ind w:left="284"/>
      </w:pPr>
      <w:r>
        <w:t>A mixture of answers was</w:t>
      </w:r>
      <w:r w:rsidR="00A50883">
        <w:t xml:space="preserve"> used correctly here regarding efforts made by employers or the nurses themselves.</w:t>
      </w:r>
    </w:p>
    <w:p w:rsidR="00A50883" w:rsidRPr="00312B0C" w:rsidRDefault="00A50883" w:rsidP="00157737">
      <w:pPr>
        <w:pStyle w:val="italicsheading"/>
      </w:pPr>
      <w:r w:rsidRPr="00312B0C">
        <w:t xml:space="preserve">Dot point </w:t>
      </w:r>
      <w:r>
        <w:t>four</w:t>
      </w:r>
      <w:r w:rsidRPr="00312B0C">
        <w:t>:</w:t>
      </w:r>
      <w:r>
        <w:t xml:space="preserve"> one stage of sleep</w:t>
      </w:r>
    </w:p>
    <w:p w:rsidR="00A50883" w:rsidRDefault="00A50883" w:rsidP="00402EB7">
      <w:pPr>
        <w:pStyle w:val="BodyText1"/>
        <w:spacing w:before="120" w:after="120"/>
        <w:ind w:left="284"/>
      </w:pPr>
      <w:r>
        <w:t xml:space="preserve">This dot point </w:t>
      </w:r>
      <w:r w:rsidR="0058305E">
        <w:t>did not cause many problems for students, except where they had imprecise descriptions of their stage of sleep or gave illogical suggestions for how it would be affected for the nurses</w:t>
      </w:r>
      <w:r>
        <w:t>.</w:t>
      </w:r>
    </w:p>
    <w:p w:rsidR="0058305E" w:rsidRPr="00D03D90" w:rsidRDefault="00532959" w:rsidP="00FA01B3">
      <w:pPr>
        <w:pStyle w:val="Heading2"/>
      </w:pPr>
      <w:r w:rsidRPr="00D03D90">
        <w:t>Operational Advice</w:t>
      </w:r>
    </w:p>
    <w:p w:rsidR="00FB23D8" w:rsidRDefault="00FB23D8" w:rsidP="00FB23D8">
      <w:pPr>
        <w:pStyle w:val="BodyText1"/>
      </w:pPr>
      <w:r>
        <w:t xml:space="preserve">School assessment tasks are set and marked by teachers. Teachers’ assessment decisions are reviewed by moderators. </w:t>
      </w:r>
      <w:r w:rsidR="00070FB3" w:rsidRPr="0058305E">
        <w:t xml:space="preserve">The presentation of </w:t>
      </w:r>
      <w:r w:rsidR="00070FB3">
        <w:t xml:space="preserve">nominated </w:t>
      </w:r>
      <w:r w:rsidR="00070FB3" w:rsidRPr="0058305E">
        <w:t xml:space="preserve">samples </w:t>
      </w:r>
      <w:r w:rsidR="00070FB3">
        <w:t xml:space="preserve">of student work </w:t>
      </w:r>
      <w:r w:rsidR="00070FB3" w:rsidRPr="0058305E">
        <w:t>was genera</w:t>
      </w:r>
      <w:r w:rsidR="00070FB3">
        <w:t xml:space="preserve">lly very helpful to moderators. It is useful if teacher </w:t>
      </w:r>
      <w:r>
        <w:t xml:space="preserve">grades/marks </w:t>
      </w:r>
      <w:r w:rsidR="00070FB3">
        <w:t>are</w:t>
      </w:r>
      <w:r>
        <w:t xml:space="preserve"> evident on all student school assessment work.</w:t>
      </w:r>
      <w:r w:rsidR="00587DF8" w:rsidRPr="00587DF8">
        <w:rPr>
          <w:szCs w:val="22"/>
        </w:rPr>
        <w:t xml:space="preserve"> </w:t>
      </w:r>
      <w:r w:rsidR="00587DF8">
        <w:rPr>
          <w:szCs w:val="22"/>
        </w:rPr>
        <w:t>Moderators are looking to confirm teachers’ decisions and are supported in doing this when they can see the teacher’s original feedback, marks, or grades.</w:t>
      </w:r>
    </w:p>
    <w:p w:rsidR="0058305E" w:rsidRDefault="00BD52DF" w:rsidP="00D03D90">
      <w:pPr>
        <w:pStyle w:val="BodyText1"/>
      </w:pPr>
      <w:r>
        <w:t xml:space="preserve">Teachers should include </w:t>
      </w:r>
      <w:r w:rsidR="0058305E">
        <w:t xml:space="preserve">sets of work </w:t>
      </w:r>
      <w:r>
        <w:t>for all students nominated</w:t>
      </w:r>
      <w:r w:rsidR="0058305E">
        <w:t xml:space="preserve"> by the SACE Board. When there is no student work, moderators are unable to confirm the teacher’s decisions. Teachers should only submit pieces of work that are part of that assessment decision (</w:t>
      </w:r>
      <w:r w:rsidR="00FB23D8">
        <w:t>that is,</w:t>
      </w:r>
      <w:r w:rsidR="0058305E">
        <w:t xml:space="preserve"> no formative work or drafts should be submitted). Student work must be clearly identified with the student’s name and/or SACE registration number to enable moderators to identify samples for each grade band. </w:t>
      </w:r>
    </w:p>
    <w:p w:rsidR="00DF27E8" w:rsidRDefault="0058305E">
      <w:pPr>
        <w:pStyle w:val="BodyText1"/>
      </w:pPr>
      <w:r>
        <w:t xml:space="preserve">Assessment of oral presentations should be supported with evidence of the </w:t>
      </w:r>
      <w:r w:rsidRPr="00157737">
        <w:t>student’s</w:t>
      </w:r>
      <w:r>
        <w:t xml:space="preserve"> presentation (e.g. printouts of PowerPoint slides, transcripts, and cue cards). Evidence of feedback from teachers and peers is also useful in confirming the consistent application of performance standards.</w:t>
      </w:r>
      <w:r w:rsidR="00DF27E8" w:rsidRPr="00DF27E8">
        <w:t xml:space="preserve"> </w:t>
      </w:r>
      <w:r w:rsidR="00DF27E8">
        <w:t xml:space="preserve">Electronic feedback </w:t>
      </w:r>
      <w:r w:rsidR="00EE17F8">
        <w:t xml:space="preserve">often </w:t>
      </w:r>
      <w:r w:rsidR="00DF27E8">
        <w:t xml:space="preserve">made it difficult to distinguish between teachers’ comments and students’ work. </w:t>
      </w:r>
    </w:p>
    <w:p w:rsidR="00587DF8" w:rsidRDefault="00587DF8" w:rsidP="00587DF8">
      <w:pPr>
        <w:pStyle w:val="BodyText1"/>
      </w:pPr>
      <w:r>
        <w:t>Approved learning and assessment plans are required from each assessment group.</w:t>
      </w:r>
      <w:r w:rsidRPr="00587DF8">
        <w:t xml:space="preserve"> </w:t>
      </w:r>
      <w:r w:rsidRPr="005F178E">
        <w:t xml:space="preserve">All tasks in the </w:t>
      </w:r>
      <w:r>
        <w:t>learning and assessment plan (</w:t>
      </w:r>
      <w:r w:rsidRPr="005F178E">
        <w:t>LAP</w:t>
      </w:r>
      <w:r>
        <w:t>)</w:t>
      </w:r>
      <w:r w:rsidRPr="005F178E">
        <w:t xml:space="preserve"> </w:t>
      </w:r>
      <w:r w:rsidR="00DD0F93">
        <w:t>are to be assessed for all students. If a task needs to be removed, altered or replaced for the whole group then notes of explanation must be recorded in the addendum. The Variations — Moderation Materials form is required for individuals when there have been special provisions or a breach of rules, or if work (submitted or not) is missing.</w:t>
      </w:r>
      <w:r w:rsidR="00DD0F93" w:rsidRPr="00DD0F93">
        <w:t xml:space="preserve"> </w:t>
      </w:r>
      <w:r w:rsidR="00DD0F93">
        <w:t>Where tasks have not</w:t>
      </w:r>
      <w:r w:rsidR="00DD0F93" w:rsidRPr="005F178E">
        <w:t xml:space="preserve"> been submitted</w:t>
      </w:r>
      <w:r w:rsidR="00DD0F93">
        <w:t xml:space="preserve"> by a student</w:t>
      </w:r>
      <w:r w:rsidR="00DD0F93" w:rsidRPr="005F178E">
        <w:t xml:space="preserve">, </w:t>
      </w:r>
      <w:r w:rsidR="00DD0F93">
        <w:t xml:space="preserve">it should be clear that </w:t>
      </w:r>
      <w:r w:rsidR="00DD0F93" w:rsidRPr="005F178E">
        <w:t xml:space="preserve">an adjustment </w:t>
      </w:r>
      <w:r w:rsidR="00DD0F93">
        <w:t>has been</w:t>
      </w:r>
      <w:r w:rsidR="00DD0F93" w:rsidRPr="005F178E">
        <w:t xml:space="preserve"> made </w:t>
      </w:r>
      <w:r w:rsidR="00DD0F93">
        <w:t>to their overall grade that reflects the missing evidence</w:t>
      </w:r>
      <w:r w:rsidR="00DD0F93" w:rsidRPr="005F178E">
        <w:t>.</w:t>
      </w:r>
    </w:p>
    <w:p w:rsidR="0058305E" w:rsidRPr="0058305E" w:rsidRDefault="0058305E">
      <w:pPr>
        <w:pStyle w:val="BodyText1"/>
      </w:pPr>
      <w:r>
        <w:t>Teachers are encouraged to include comments indicating how an overall grade level was allocated for an assessment type. Individual tasks within an assessment type should not be allocated weightings.</w:t>
      </w:r>
      <w:r w:rsidR="000472DF">
        <w:t xml:space="preserve"> Overall grades for an assessment type are best made by reviewing the set of tasks as a whole, assessing each specific feature </w:t>
      </w:r>
      <w:r w:rsidR="000472DF">
        <w:lastRenderedPageBreak/>
        <w:t xml:space="preserve">across all tasks. </w:t>
      </w:r>
      <w:r w:rsidR="00A9033E">
        <w:t>T</w:t>
      </w:r>
      <w:r>
        <w:t>eachers should ensure that the grade levels allocated on the sets of work match the grade levels on the school assessment online results.</w:t>
      </w:r>
    </w:p>
    <w:p w:rsidR="001A0F23" w:rsidRDefault="001A0F23" w:rsidP="00FA01B3">
      <w:pPr>
        <w:pStyle w:val="Heading2"/>
        <w:rPr>
          <w:rFonts w:ascii="Times New Roman" w:hAnsi="Times New Roman"/>
        </w:rPr>
      </w:pPr>
      <w:r>
        <w:t>General Comments</w:t>
      </w:r>
    </w:p>
    <w:p w:rsidR="00451D70" w:rsidRPr="00BA0B71" w:rsidRDefault="00451D70">
      <w:pPr>
        <w:pStyle w:val="BodyText1"/>
      </w:pPr>
      <w:r>
        <w:t xml:space="preserve">Teachers should refer to the subject outline </w:t>
      </w:r>
      <w:r w:rsidRPr="00BA0B71">
        <w:t xml:space="preserve">and support materials on the Psychology minisite for information and advice about each of the school assessment types. </w:t>
      </w:r>
    </w:p>
    <w:p w:rsidR="00451D70" w:rsidRPr="00BA0B71" w:rsidRDefault="00451D70">
      <w:pPr>
        <w:pStyle w:val="BodyText1"/>
      </w:pPr>
      <w:r w:rsidRPr="00BA0B71">
        <w:t xml:space="preserve">It is recommended that teachers consider joining the online community for Psychology, via the Psychology minisite, to make connections with other teachers and receive up-to-date information. </w:t>
      </w:r>
    </w:p>
    <w:p w:rsidR="00451D70" w:rsidRDefault="00451D70">
      <w:pPr>
        <w:pStyle w:val="BodyText1"/>
        <w:rPr>
          <w:rFonts w:cs="Arial"/>
        </w:rPr>
      </w:pPr>
      <w:r w:rsidRPr="00157737">
        <w:t>New teachers are encouraged to seek clarification</w:t>
      </w:r>
      <w:r w:rsidRPr="00451D70">
        <w:rPr>
          <w:rFonts w:cs="Arial"/>
        </w:rPr>
        <w:t xml:space="preserve"> and advice early in the year by attending clarifying forums and contacting the SACE Officer — Curriculum. </w:t>
      </w:r>
    </w:p>
    <w:p w:rsidR="001A0F23" w:rsidRPr="00451D70" w:rsidRDefault="00451D70" w:rsidP="00451D70">
      <w:pPr>
        <w:spacing w:before="480"/>
        <w:rPr>
          <w:rFonts w:ascii="Arial" w:hAnsi="Arial" w:cs="Arial"/>
          <w:szCs w:val="22"/>
        </w:rPr>
      </w:pPr>
      <w:r w:rsidRPr="00451D70">
        <w:rPr>
          <w:rFonts w:ascii="Arial" w:hAnsi="Arial" w:cs="Arial"/>
          <w:szCs w:val="22"/>
        </w:rPr>
        <w:t>Psychology</w:t>
      </w:r>
    </w:p>
    <w:p w:rsidR="00DC7C11" w:rsidRPr="00451D70" w:rsidRDefault="001A0F23" w:rsidP="001B602D">
      <w:pPr>
        <w:rPr>
          <w:rFonts w:ascii="Arial" w:hAnsi="Arial" w:cs="Arial"/>
          <w:szCs w:val="22"/>
        </w:rPr>
      </w:pPr>
      <w:r w:rsidRPr="00451D70">
        <w:rPr>
          <w:rFonts w:ascii="Arial" w:hAnsi="Arial" w:cs="Arial"/>
          <w:szCs w:val="22"/>
        </w:rPr>
        <w:t>Chief Assessor</w:t>
      </w:r>
    </w:p>
    <w:sectPr w:rsidR="00DC7C11" w:rsidRPr="00451D70"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D7" w:rsidRDefault="003023D7">
      <w:r>
        <w:separator/>
      </w:r>
    </w:p>
  </w:endnote>
  <w:endnote w:type="continuationSeparator" w:id="0">
    <w:p w:rsidR="003023D7" w:rsidRDefault="0030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1D" w:rsidRDefault="000444AD">
    <w:pPr>
      <w:pStyle w:val="Footer"/>
      <w:framePr w:wrap="around" w:vAnchor="text" w:hAnchor="margin" w:xAlign="center" w:y="1"/>
      <w:rPr>
        <w:rStyle w:val="PageNumber"/>
      </w:rPr>
    </w:pPr>
    <w:r>
      <w:rPr>
        <w:rStyle w:val="PageNumber"/>
      </w:rPr>
      <w:fldChar w:fldCharType="begin"/>
    </w:r>
    <w:r w:rsidR="00F55C1D">
      <w:rPr>
        <w:rStyle w:val="PageNumber"/>
      </w:rPr>
      <w:instrText xml:space="preserve">PAGE  </w:instrText>
    </w:r>
    <w:r>
      <w:rPr>
        <w:rStyle w:val="PageNumber"/>
      </w:rPr>
      <w:fldChar w:fldCharType="separate"/>
    </w:r>
    <w:r w:rsidR="00F55C1D">
      <w:rPr>
        <w:rStyle w:val="PageNumber"/>
        <w:noProof/>
      </w:rPr>
      <w:t>1</w:t>
    </w:r>
    <w:r>
      <w:rPr>
        <w:rStyle w:val="PageNumber"/>
      </w:rPr>
      <w:fldChar w:fldCharType="end"/>
    </w:r>
  </w:p>
  <w:p w:rsidR="00F55C1D" w:rsidRDefault="00F55C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1D" w:rsidRDefault="000444AD">
    <w:pPr>
      <w:pStyle w:val="Footer"/>
      <w:framePr w:wrap="around" w:vAnchor="text" w:hAnchor="margin" w:xAlign="center" w:y="1"/>
      <w:rPr>
        <w:rStyle w:val="PageNumber"/>
      </w:rPr>
    </w:pPr>
    <w:r>
      <w:rPr>
        <w:rStyle w:val="PageNumber"/>
      </w:rPr>
      <w:fldChar w:fldCharType="begin"/>
    </w:r>
    <w:r w:rsidR="00F55C1D">
      <w:rPr>
        <w:rStyle w:val="PageNumber"/>
      </w:rPr>
      <w:instrText xml:space="preserve">PAGE  </w:instrText>
    </w:r>
    <w:r>
      <w:rPr>
        <w:rStyle w:val="PageNumber"/>
      </w:rPr>
      <w:fldChar w:fldCharType="separate"/>
    </w:r>
    <w:r w:rsidR="00F55C1D">
      <w:rPr>
        <w:rStyle w:val="PageNumber"/>
        <w:noProof/>
      </w:rPr>
      <w:t>1</w:t>
    </w:r>
    <w:r>
      <w:rPr>
        <w:rStyle w:val="PageNumber"/>
      </w:rPr>
      <w:fldChar w:fldCharType="end"/>
    </w:r>
  </w:p>
  <w:p w:rsidR="00F55C1D" w:rsidRDefault="00F55C1D">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1D" w:rsidRPr="005B1FDF" w:rsidRDefault="00F55C1D" w:rsidP="000A7E3A">
    <w:pPr>
      <w:pStyle w:val="Footer"/>
      <w:tabs>
        <w:tab w:val="clear" w:pos="4153"/>
      </w:tabs>
      <w:ind w:right="91"/>
      <w:rPr>
        <w:rFonts w:ascii="Arial" w:hAnsi="Arial" w:cs="Arial"/>
        <w:sz w:val="18"/>
        <w:szCs w:val="18"/>
        <w:lang w:val="en-US"/>
      </w:rPr>
    </w:pPr>
    <w:r w:rsidRPr="00057BA7">
      <w:rPr>
        <w:rFonts w:ascii="Arial" w:hAnsi="Arial" w:cs="Arial"/>
        <w:sz w:val="18"/>
        <w:szCs w:val="18"/>
        <w:lang w:val="en-US"/>
      </w:rPr>
      <w:t xml:space="preserve">Psychology 2014 </w:t>
    </w:r>
    <w:r>
      <w:rPr>
        <w:rFonts w:ascii="Arial" w:hAnsi="Arial" w:cs="Arial"/>
        <w:sz w:val="18"/>
        <w:szCs w:val="18"/>
        <w:lang w:val="en-US"/>
      </w:rPr>
      <w:t>Chief Assessor’s Report</w:t>
    </w:r>
    <w:r>
      <w:rPr>
        <w:rFonts w:ascii="Arial" w:hAnsi="Arial" w:cs="Arial"/>
        <w:sz w:val="18"/>
        <w:szCs w:val="18"/>
        <w:lang w:val="en-US"/>
      </w:rPr>
      <w:tab/>
    </w:r>
    <w:r w:rsidRPr="005B1FDF">
      <w:rPr>
        <w:rFonts w:ascii="Arial" w:hAnsi="Arial" w:cs="Arial"/>
        <w:sz w:val="18"/>
        <w:szCs w:val="18"/>
        <w:lang w:val="en-US"/>
      </w:rPr>
      <w:t xml:space="preserve">Page </w:t>
    </w:r>
    <w:r w:rsidR="000444AD"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000444AD" w:rsidRPr="005B1FDF">
      <w:rPr>
        <w:rFonts w:ascii="Arial" w:hAnsi="Arial" w:cs="Arial"/>
        <w:sz w:val="18"/>
        <w:szCs w:val="18"/>
        <w:lang w:val="en-US"/>
      </w:rPr>
      <w:fldChar w:fldCharType="separate"/>
    </w:r>
    <w:r w:rsidR="003225BD">
      <w:rPr>
        <w:rFonts w:ascii="Arial" w:hAnsi="Arial" w:cs="Arial"/>
        <w:noProof/>
        <w:sz w:val="18"/>
        <w:szCs w:val="18"/>
        <w:lang w:val="en-US"/>
      </w:rPr>
      <w:t>12</w:t>
    </w:r>
    <w:r w:rsidR="000444AD"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000444AD"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000444AD" w:rsidRPr="005B1FDF">
      <w:rPr>
        <w:rFonts w:ascii="Arial" w:hAnsi="Arial" w:cs="Arial"/>
        <w:sz w:val="18"/>
        <w:szCs w:val="18"/>
        <w:lang w:val="en-US"/>
      </w:rPr>
      <w:fldChar w:fldCharType="separate"/>
    </w:r>
    <w:r w:rsidR="003225BD">
      <w:rPr>
        <w:rFonts w:ascii="Arial" w:hAnsi="Arial" w:cs="Arial"/>
        <w:noProof/>
        <w:sz w:val="18"/>
        <w:szCs w:val="18"/>
        <w:lang w:val="en-US"/>
      </w:rPr>
      <w:t>12</w:t>
    </w:r>
    <w:r w:rsidR="000444AD"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1D" w:rsidRDefault="000444AD">
    <w:pPr>
      <w:pStyle w:val="Footer"/>
      <w:framePr w:wrap="around" w:vAnchor="text" w:hAnchor="margin" w:xAlign="center" w:y="1"/>
      <w:rPr>
        <w:rStyle w:val="PageNumber"/>
      </w:rPr>
    </w:pPr>
    <w:r>
      <w:rPr>
        <w:rStyle w:val="PageNumber"/>
      </w:rPr>
      <w:fldChar w:fldCharType="begin"/>
    </w:r>
    <w:r w:rsidR="00F55C1D">
      <w:rPr>
        <w:rStyle w:val="PageNumber"/>
      </w:rPr>
      <w:instrText xml:space="preserve">PAGE  </w:instrText>
    </w:r>
    <w:r>
      <w:rPr>
        <w:rStyle w:val="PageNumber"/>
      </w:rPr>
      <w:fldChar w:fldCharType="separate"/>
    </w:r>
    <w:r w:rsidR="00F55C1D">
      <w:rPr>
        <w:rStyle w:val="PageNumber"/>
        <w:noProof/>
      </w:rPr>
      <w:t>1</w:t>
    </w:r>
    <w:r>
      <w:rPr>
        <w:rStyle w:val="PageNumber"/>
      </w:rPr>
      <w:fldChar w:fldCharType="end"/>
    </w:r>
  </w:p>
  <w:p w:rsidR="00F55C1D" w:rsidRDefault="00F5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D7" w:rsidRDefault="003023D7">
      <w:r>
        <w:separator/>
      </w:r>
    </w:p>
  </w:footnote>
  <w:footnote w:type="continuationSeparator" w:id="0">
    <w:p w:rsidR="003023D7" w:rsidRDefault="0030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1D" w:rsidRDefault="00F55C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1D" w:rsidRDefault="00F55C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18457A1"/>
    <w:multiLevelType w:val="hybridMultilevel"/>
    <w:tmpl w:val="1938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A75937"/>
    <w:multiLevelType w:val="hybridMultilevel"/>
    <w:tmpl w:val="9EACA20C"/>
    <w:lvl w:ilvl="0" w:tplc="FAB0D576">
      <w:start w:val="20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810157"/>
    <w:multiLevelType w:val="hybridMultilevel"/>
    <w:tmpl w:val="3B14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1B0B62"/>
    <w:multiLevelType w:val="hybridMultilevel"/>
    <w:tmpl w:val="D8167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39D6C8B"/>
    <w:multiLevelType w:val="hybridMultilevel"/>
    <w:tmpl w:val="83A01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47E25"/>
    <w:multiLevelType w:val="hybridMultilevel"/>
    <w:tmpl w:val="3C04B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7D344B"/>
    <w:multiLevelType w:val="hybridMultilevel"/>
    <w:tmpl w:val="D680A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2E2273C"/>
    <w:multiLevelType w:val="hybridMultilevel"/>
    <w:tmpl w:val="E0D85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7A3A38"/>
    <w:multiLevelType w:val="hybridMultilevel"/>
    <w:tmpl w:val="83FA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2"/>
  </w:num>
  <w:num w:numId="17">
    <w:abstractNumId w:val="11"/>
  </w:num>
  <w:num w:numId="18">
    <w:abstractNumId w:val="12"/>
  </w:num>
  <w:num w:numId="19">
    <w:abstractNumId w:val="17"/>
  </w:num>
  <w:num w:numId="20">
    <w:abstractNumId w:val="19"/>
  </w:num>
  <w:num w:numId="21">
    <w:abstractNumId w:val="1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5C62"/>
    <w:rsid w:val="00012027"/>
    <w:rsid w:val="000174F1"/>
    <w:rsid w:val="000249B2"/>
    <w:rsid w:val="000278BF"/>
    <w:rsid w:val="00033664"/>
    <w:rsid w:val="000429F9"/>
    <w:rsid w:val="0004325A"/>
    <w:rsid w:val="000444AD"/>
    <w:rsid w:val="00045D0F"/>
    <w:rsid w:val="000472DF"/>
    <w:rsid w:val="00054F9D"/>
    <w:rsid w:val="00057BA7"/>
    <w:rsid w:val="0007081C"/>
    <w:rsid w:val="00070FB3"/>
    <w:rsid w:val="000728CD"/>
    <w:rsid w:val="000844EB"/>
    <w:rsid w:val="00091E1D"/>
    <w:rsid w:val="000A39B4"/>
    <w:rsid w:val="000A5992"/>
    <w:rsid w:val="000A7E3A"/>
    <w:rsid w:val="000B51DE"/>
    <w:rsid w:val="000C3880"/>
    <w:rsid w:val="000C7C0A"/>
    <w:rsid w:val="000E3E90"/>
    <w:rsid w:val="000E4E6A"/>
    <w:rsid w:val="000E5227"/>
    <w:rsid w:val="000F59CB"/>
    <w:rsid w:val="000F74CE"/>
    <w:rsid w:val="0010157A"/>
    <w:rsid w:val="00101CCE"/>
    <w:rsid w:val="00113786"/>
    <w:rsid w:val="001138EE"/>
    <w:rsid w:val="00126BC4"/>
    <w:rsid w:val="001320CD"/>
    <w:rsid w:val="0013279D"/>
    <w:rsid w:val="0014067C"/>
    <w:rsid w:val="001474AD"/>
    <w:rsid w:val="00157737"/>
    <w:rsid w:val="00160240"/>
    <w:rsid w:val="00165AA5"/>
    <w:rsid w:val="00165BA6"/>
    <w:rsid w:val="0017613B"/>
    <w:rsid w:val="00194EC1"/>
    <w:rsid w:val="001A0F23"/>
    <w:rsid w:val="001B0589"/>
    <w:rsid w:val="001B321B"/>
    <w:rsid w:val="001B602D"/>
    <w:rsid w:val="001C2AF3"/>
    <w:rsid w:val="001C4D9B"/>
    <w:rsid w:val="001C65C8"/>
    <w:rsid w:val="001C7099"/>
    <w:rsid w:val="001E452E"/>
    <w:rsid w:val="001E746C"/>
    <w:rsid w:val="001F14B8"/>
    <w:rsid w:val="001F3325"/>
    <w:rsid w:val="001F4153"/>
    <w:rsid w:val="001F7063"/>
    <w:rsid w:val="002042D6"/>
    <w:rsid w:val="002225B6"/>
    <w:rsid w:val="00225FC5"/>
    <w:rsid w:val="00236E72"/>
    <w:rsid w:val="00247A2D"/>
    <w:rsid w:val="002559E1"/>
    <w:rsid w:val="00275F77"/>
    <w:rsid w:val="002936C3"/>
    <w:rsid w:val="002948CC"/>
    <w:rsid w:val="00297E69"/>
    <w:rsid w:val="002A00B7"/>
    <w:rsid w:val="002A21C2"/>
    <w:rsid w:val="002B2972"/>
    <w:rsid w:val="002B625C"/>
    <w:rsid w:val="002C5A36"/>
    <w:rsid w:val="002C62D8"/>
    <w:rsid w:val="002D3D59"/>
    <w:rsid w:val="002D65CB"/>
    <w:rsid w:val="002E7A03"/>
    <w:rsid w:val="003023D7"/>
    <w:rsid w:val="00312191"/>
    <w:rsid w:val="00312B0C"/>
    <w:rsid w:val="003225BD"/>
    <w:rsid w:val="003463FB"/>
    <w:rsid w:val="00355FAC"/>
    <w:rsid w:val="00361D31"/>
    <w:rsid w:val="00363AD1"/>
    <w:rsid w:val="003671C1"/>
    <w:rsid w:val="003944AC"/>
    <w:rsid w:val="00394ACF"/>
    <w:rsid w:val="003B5E2D"/>
    <w:rsid w:val="003C7360"/>
    <w:rsid w:val="003C7581"/>
    <w:rsid w:val="00402EB7"/>
    <w:rsid w:val="00405BB0"/>
    <w:rsid w:val="00437320"/>
    <w:rsid w:val="00445801"/>
    <w:rsid w:val="00451D70"/>
    <w:rsid w:val="004524B7"/>
    <w:rsid w:val="0045708C"/>
    <w:rsid w:val="00480969"/>
    <w:rsid w:val="00483E0D"/>
    <w:rsid w:val="00483EB6"/>
    <w:rsid w:val="004875CD"/>
    <w:rsid w:val="0049058B"/>
    <w:rsid w:val="004908D2"/>
    <w:rsid w:val="004A1A95"/>
    <w:rsid w:val="004B7763"/>
    <w:rsid w:val="004C084C"/>
    <w:rsid w:val="004C43FA"/>
    <w:rsid w:val="004D0F80"/>
    <w:rsid w:val="004D2A53"/>
    <w:rsid w:val="004D6083"/>
    <w:rsid w:val="004E77C7"/>
    <w:rsid w:val="005016A8"/>
    <w:rsid w:val="00516A0C"/>
    <w:rsid w:val="0053196F"/>
    <w:rsid w:val="00532959"/>
    <w:rsid w:val="00560F4B"/>
    <w:rsid w:val="00566C6B"/>
    <w:rsid w:val="00574A4E"/>
    <w:rsid w:val="0058305E"/>
    <w:rsid w:val="00587DF8"/>
    <w:rsid w:val="00597399"/>
    <w:rsid w:val="005B029A"/>
    <w:rsid w:val="005B1FDF"/>
    <w:rsid w:val="005D713B"/>
    <w:rsid w:val="005F1370"/>
    <w:rsid w:val="005F178E"/>
    <w:rsid w:val="00601B24"/>
    <w:rsid w:val="0060232B"/>
    <w:rsid w:val="00603E07"/>
    <w:rsid w:val="006047FB"/>
    <w:rsid w:val="00606523"/>
    <w:rsid w:val="00607EF8"/>
    <w:rsid w:val="006139E0"/>
    <w:rsid w:val="00613FDD"/>
    <w:rsid w:val="006246EA"/>
    <w:rsid w:val="0066071C"/>
    <w:rsid w:val="006610DC"/>
    <w:rsid w:val="0066363A"/>
    <w:rsid w:val="00663BA6"/>
    <w:rsid w:val="00664156"/>
    <w:rsid w:val="006829AF"/>
    <w:rsid w:val="00684BC5"/>
    <w:rsid w:val="0069480D"/>
    <w:rsid w:val="00694A99"/>
    <w:rsid w:val="006951B8"/>
    <w:rsid w:val="006B28B9"/>
    <w:rsid w:val="006C3FEB"/>
    <w:rsid w:val="006D46C9"/>
    <w:rsid w:val="006D663D"/>
    <w:rsid w:val="006E51DA"/>
    <w:rsid w:val="006E7189"/>
    <w:rsid w:val="006E7638"/>
    <w:rsid w:val="00726B5F"/>
    <w:rsid w:val="00744570"/>
    <w:rsid w:val="00757A06"/>
    <w:rsid w:val="007901D9"/>
    <w:rsid w:val="0079203E"/>
    <w:rsid w:val="0079634D"/>
    <w:rsid w:val="0079760B"/>
    <w:rsid w:val="007B4A25"/>
    <w:rsid w:val="007C16AD"/>
    <w:rsid w:val="007C64D3"/>
    <w:rsid w:val="00804EA1"/>
    <w:rsid w:val="0080667F"/>
    <w:rsid w:val="0083404B"/>
    <w:rsid w:val="00847D4F"/>
    <w:rsid w:val="00853C3A"/>
    <w:rsid w:val="00872754"/>
    <w:rsid w:val="008B169D"/>
    <w:rsid w:val="008B777D"/>
    <w:rsid w:val="008C1EE6"/>
    <w:rsid w:val="008D229D"/>
    <w:rsid w:val="008D4935"/>
    <w:rsid w:val="008D6093"/>
    <w:rsid w:val="008F433B"/>
    <w:rsid w:val="008F68EB"/>
    <w:rsid w:val="00925ECE"/>
    <w:rsid w:val="009314BD"/>
    <w:rsid w:val="009414F8"/>
    <w:rsid w:val="009438E2"/>
    <w:rsid w:val="00951B11"/>
    <w:rsid w:val="00966C24"/>
    <w:rsid w:val="00975A4A"/>
    <w:rsid w:val="009867AC"/>
    <w:rsid w:val="00991FF5"/>
    <w:rsid w:val="009A443D"/>
    <w:rsid w:val="009A4917"/>
    <w:rsid w:val="009B44BF"/>
    <w:rsid w:val="009B5EE0"/>
    <w:rsid w:val="009C1816"/>
    <w:rsid w:val="009D13AD"/>
    <w:rsid w:val="009E1E34"/>
    <w:rsid w:val="009F10B6"/>
    <w:rsid w:val="009F4384"/>
    <w:rsid w:val="009F76C5"/>
    <w:rsid w:val="009F78D3"/>
    <w:rsid w:val="00A0746A"/>
    <w:rsid w:val="00A4114F"/>
    <w:rsid w:val="00A47AFA"/>
    <w:rsid w:val="00A50883"/>
    <w:rsid w:val="00A53EB2"/>
    <w:rsid w:val="00A7452F"/>
    <w:rsid w:val="00A74970"/>
    <w:rsid w:val="00A9033E"/>
    <w:rsid w:val="00A956BA"/>
    <w:rsid w:val="00AA6668"/>
    <w:rsid w:val="00AB1BDE"/>
    <w:rsid w:val="00AB5993"/>
    <w:rsid w:val="00AB63FF"/>
    <w:rsid w:val="00AC5458"/>
    <w:rsid w:val="00AF1476"/>
    <w:rsid w:val="00AF60A0"/>
    <w:rsid w:val="00AF741B"/>
    <w:rsid w:val="00B0407D"/>
    <w:rsid w:val="00B1461F"/>
    <w:rsid w:val="00B37AB5"/>
    <w:rsid w:val="00B55E8B"/>
    <w:rsid w:val="00B7041D"/>
    <w:rsid w:val="00B71E18"/>
    <w:rsid w:val="00B92B6D"/>
    <w:rsid w:val="00BA0B71"/>
    <w:rsid w:val="00BA47C5"/>
    <w:rsid w:val="00BA50B9"/>
    <w:rsid w:val="00BD3939"/>
    <w:rsid w:val="00BD52DF"/>
    <w:rsid w:val="00BD5FA4"/>
    <w:rsid w:val="00C079CF"/>
    <w:rsid w:val="00C13C06"/>
    <w:rsid w:val="00C23445"/>
    <w:rsid w:val="00C32B7D"/>
    <w:rsid w:val="00C36140"/>
    <w:rsid w:val="00C40BCE"/>
    <w:rsid w:val="00C61173"/>
    <w:rsid w:val="00C86F95"/>
    <w:rsid w:val="00C87071"/>
    <w:rsid w:val="00C878D2"/>
    <w:rsid w:val="00C934D4"/>
    <w:rsid w:val="00C94D01"/>
    <w:rsid w:val="00C9515F"/>
    <w:rsid w:val="00CA1D18"/>
    <w:rsid w:val="00CC03DA"/>
    <w:rsid w:val="00CD32DE"/>
    <w:rsid w:val="00CD6252"/>
    <w:rsid w:val="00CE5CD9"/>
    <w:rsid w:val="00D03D90"/>
    <w:rsid w:val="00D108CB"/>
    <w:rsid w:val="00D12A59"/>
    <w:rsid w:val="00D24DAF"/>
    <w:rsid w:val="00D27BE6"/>
    <w:rsid w:val="00D41243"/>
    <w:rsid w:val="00D45865"/>
    <w:rsid w:val="00DA62AE"/>
    <w:rsid w:val="00DB0401"/>
    <w:rsid w:val="00DB5AF3"/>
    <w:rsid w:val="00DB5B36"/>
    <w:rsid w:val="00DB6E71"/>
    <w:rsid w:val="00DC7C11"/>
    <w:rsid w:val="00DD0F93"/>
    <w:rsid w:val="00DD19CB"/>
    <w:rsid w:val="00DD4D40"/>
    <w:rsid w:val="00DD5825"/>
    <w:rsid w:val="00DD7C09"/>
    <w:rsid w:val="00DD7C1A"/>
    <w:rsid w:val="00DE2755"/>
    <w:rsid w:val="00DF27E8"/>
    <w:rsid w:val="00DF2E21"/>
    <w:rsid w:val="00DF42D8"/>
    <w:rsid w:val="00DF556F"/>
    <w:rsid w:val="00E07320"/>
    <w:rsid w:val="00E24324"/>
    <w:rsid w:val="00E253E3"/>
    <w:rsid w:val="00E318F2"/>
    <w:rsid w:val="00E4274D"/>
    <w:rsid w:val="00E47DF7"/>
    <w:rsid w:val="00E55E7F"/>
    <w:rsid w:val="00E7182F"/>
    <w:rsid w:val="00E76CCB"/>
    <w:rsid w:val="00E86D14"/>
    <w:rsid w:val="00E87E9A"/>
    <w:rsid w:val="00EA125F"/>
    <w:rsid w:val="00EB12C8"/>
    <w:rsid w:val="00EC7DCB"/>
    <w:rsid w:val="00EE17F8"/>
    <w:rsid w:val="00EF08EB"/>
    <w:rsid w:val="00EF31AB"/>
    <w:rsid w:val="00EF3901"/>
    <w:rsid w:val="00F02D47"/>
    <w:rsid w:val="00F111E7"/>
    <w:rsid w:val="00F16E70"/>
    <w:rsid w:val="00F20A3F"/>
    <w:rsid w:val="00F35112"/>
    <w:rsid w:val="00F540C5"/>
    <w:rsid w:val="00F5454B"/>
    <w:rsid w:val="00F55C1D"/>
    <w:rsid w:val="00F6389F"/>
    <w:rsid w:val="00F6588B"/>
    <w:rsid w:val="00F802C4"/>
    <w:rsid w:val="00F847AF"/>
    <w:rsid w:val="00FA01B3"/>
    <w:rsid w:val="00FA5691"/>
    <w:rsid w:val="00FB23D8"/>
    <w:rsid w:val="00FE00D9"/>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FA01B3"/>
    <w:pPr>
      <w:keepNext/>
      <w:spacing w:before="480"/>
      <w:outlineLvl w:val="1"/>
    </w:pPr>
    <w:rPr>
      <w:rFonts w:ascii="Arial" w:hAnsi="Arial" w:cs="Arial"/>
      <w:b/>
      <w:bCs/>
      <w:sz w:val="28"/>
      <w:szCs w:val="28"/>
    </w:rPr>
  </w:style>
  <w:style w:type="paragraph" w:styleId="Heading3">
    <w:name w:val="heading 3"/>
    <w:aliases w:val="Heading C"/>
    <w:basedOn w:val="Normal"/>
    <w:next w:val="Normal"/>
    <w:qFormat/>
    <w:rsid w:val="002936C3"/>
    <w:pPr>
      <w:keepNext/>
      <w:spacing w:before="240" w:after="120"/>
      <w:outlineLvl w:val="2"/>
    </w:pPr>
    <w:rPr>
      <w:rFonts w:ascii="Arial" w:hAnsi="Arial"/>
      <w:b/>
    </w:rPr>
  </w:style>
  <w:style w:type="paragraph" w:styleId="Heading4">
    <w:name w:val="heading 4"/>
    <w:aliases w:val="Heading D"/>
    <w:basedOn w:val="Normal"/>
    <w:next w:val="Normal"/>
    <w:qFormat/>
    <w:rsid w:val="00726B5F"/>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726B5F"/>
    <w:pPr>
      <w:ind w:left="567" w:right="567"/>
    </w:pPr>
  </w:style>
  <w:style w:type="paragraph" w:customStyle="1" w:styleId="HeadingE">
    <w:name w:val="Heading E"/>
    <w:basedOn w:val="Heading1"/>
    <w:rsid w:val="00726B5F"/>
    <w:pPr>
      <w:jc w:val="left"/>
    </w:pPr>
    <w:rPr>
      <w:rFonts w:ascii="Times New Roman" w:hAnsi="Times New Roman"/>
      <w:b w:val="0"/>
      <w:i/>
      <w:caps/>
      <w:sz w:val="22"/>
    </w:rPr>
  </w:style>
  <w:style w:type="character" w:styleId="CommentReference">
    <w:name w:val="annotation reference"/>
    <w:semiHidden/>
    <w:rsid w:val="00726B5F"/>
    <w:rPr>
      <w:sz w:val="16"/>
    </w:rPr>
  </w:style>
  <w:style w:type="paragraph" w:styleId="CommentText">
    <w:name w:val="annotation text"/>
    <w:basedOn w:val="Normal"/>
    <w:link w:val="CommentTextChar"/>
    <w:semiHidden/>
    <w:rsid w:val="00726B5F"/>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726B5F"/>
    <w:pPr>
      <w:tabs>
        <w:tab w:val="center" w:pos="4153"/>
        <w:tab w:val="right" w:pos="8306"/>
      </w:tabs>
    </w:pPr>
  </w:style>
  <w:style w:type="paragraph" w:styleId="Footer">
    <w:name w:val="footer"/>
    <w:basedOn w:val="Normal"/>
    <w:link w:val="FooterChar"/>
    <w:rsid w:val="00726B5F"/>
    <w:pPr>
      <w:tabs>
        <w:tab w:val="center" w:pos="4153"/>
        <w:tab w:val="right" w:pos="8306"/>
      </w:tabs>
    </w:pPr>
  </w:style>
  <w:style w:type="character" w:styleId="PageNumber">
    <w:name w:val="page number"/>
    <w:basedOn w:val="DefaultParagraphFont"/>
    <w:rsid w:val="00726B5F"/>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726B5F"/>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table" w:styleId="TableGrid">
    <w:name w:val="Table Grid"/>
    <w:basedOn w:val="TableNormal"/>
    <w:rsid w:val="0094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67F"/>
    <w:pPr>
      <w:spacing w:after="200" w:line="276" w:lineRule="auto"/>
      <w:ind w:left="720"/>
      <w:contextualSpacing/>
    </w:pPr>
    <w:rPr>
      <w:rFonts w:asciiTheme="minorHAnsi" w:eastAsiaTheme="minorHAnsi" w:hAnsiTheme="minorHAnsi" w:cstheme="minorBidi"/>
      <w:szCs w:val="22"/>
    </w:rPr>
  </w:style>
  <w:style w:type="paragraph" w:customStyle="1" w:styleId="Default">
    <w:name w:val="Default"/>
    <w:rsid w:val="0058305E"/>
    <w:pPr>
      <w:autoSpaceDE w:val="0"/>
      <w:autoSpaceDN w:val="0"/>
      <w:adjustRightInd w:val="0"/>
    </w:pPr>
    <w:rPr>
      <w:rFonts w:ascii="Arial" w:hAnsi="Arial" w:cs="Arial"/>
      <w:color w:val="000000"/>
      <w:sz w:val="24"/>
      <w:szCs w:val="24"/>
    </w:rPr>
  </w:style>
  <w:style w:type="paragraph" w:customStyle="1" w:styleId="sectionheading">
    <w:name w:val="sectionheading"/>
    <w:basedOn w:val="AssessmentTypeHeading"/>
    <w:qFormat/>
    <w:rsid w:val="00D03D90"/>
    <w:pPr>
      <w:spacing w:after="240"/>
    </w:pPr>
    <w:rPr>
      <w:sz w:val="24"/>
      <w:szCs w:val="24"/>
    </w:rPr>
  </w:style>
  <w:style w:type="paragraph" w:customStyle="1" w:styleId="italicsheading">
    <w:name w:val="italicsheading"/>
    <w:basedOn w:val="Heading2"/>
    <w:qFormat/>
    <w:rsid w:val="00EC7DCB"/>
    <w:pPr>
      <w:spacing w:before="0"/>
    </w:pPr>
    <w:rPr>
      <w:b w:val="0"/>
      <w:i/>
      <w:sz w:val="22"/>
    </w:rPr>
  </w:style>
  <w:style w:type="paragraph" w:customStyle="1" w:styleId="Topicheading">
    <w:name w:val="Topic heading"/>
    <w:basedOn w:val="sectionheading"/>
    <w:qFormat/>
    <w:rsid w:val="002936C3"/>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D03D90"/>
    <w:pPr>
      <w:keepNext/>
      <w:spacing w:before="480"/>
      <w:outlineLvl w:val="1"/>
    </w:pPr>
    <w:rPr>
      <w:rFonts w:ascii="Arial" w:hAnsi="Arial" w:cs="Arial"/>
      <w:b/>
      <w:bCs/>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table" w:styleId="TableGrid">
    <w:name w:val="Table Grid"/>
    <w:basedOn w:val="TableNormal"/>
    <w:rsid w:val="0094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67F"/>
    <w:pPr>
      <w:spacing w:after="200" w:line="276" w:lineRule="auto"/>
      <w:ind w:left="720"/>
      <w:contextualSpacing/>
    </w:pPr>
    <w:rPr>
      <w:rFonts w:asciiTheme="minorHAnsi" w:eastAsiaTheme="minorHAnsi" w:hAnsiTheme="minorHAnsi" w:cstheme="minorBidi"/>
      <w:szCs w:val="22"/>
    </w:rPr>
  </w:style>
  <w:style w:type="paragraph" w:customStyle="1" w:styleId="Default">
    <w:name w:val="Default"/>
    <w:rsid w:val="0058305E"/>
    <w:pPr>
      <w:autoSpaceDE w:val="0"/>
      <w:autoSpaceDN w:val="0"/>
      <w:adjustRightInd w:val="0"/>
    </w:pPr>
    <w:rPr>
      <w:rFonts w:ascii="Arial" w:hAnsi="Arial" w:cs="Arial"/>
      <w:color w:val="000000"/>
      <w:sz w:val="24"/>
      <w:szCs w:val="24"/>
    </w:rPr>
  </w:style>
  <w:style w:type="paragraph" w:customStyle="1" w:styleId="sectionheading">
    <w:name w:val="sectionheading"/>
    <w:basedOn w:val="AssessmentTypeHeading"/>
    <w:qFormat/>
    <w:rsid w:val="00D03D90"/>
    <w:pPr>
      <w:spacing w:after="240"/>
    </w:pPr>
    <w:rPr>
      <w:sz w:val="24"/>
      <w:szCs w:val="24"/>
    </w:rPr>
  </w:style>
  <w:style w:type="paragraph" w:customStyle="1" w:styleId="italicsheading">
    <w:name w:val="italicsheading"/>
    <w:basedOn w:val="Heading2"/>
    <w:qFormat/>
    <w:rsid w:val="00D0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D6E748-761D-4648-8F23-EBA1EA51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917</TotalTime>
  <Pages>12</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Lois Ey</cp:lastModifiedBy>
  <cp:revision>32</cp:revision>
  <cp:lastPrinted>2011-08-01T03:09:00Z</cp:lastPrinted>
  <dcterms:created xsi:type="dcterms:W3CDTF">2015-01-19T05:05:00Z</dcterms:created>
  <dcterms:modified xsi:type="dcterms:W3CDTF">2015-02-02T04:37:00Z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A410079</vt:lpwstr>
  </property>
  <property fmtid="{D5CDD505-2E9C-101B-9397-08002B2CF9AE}" pid="3" name="Objective-Comment">
    <vt:lpwstr/>
  </property>
  <property fmtid="{D5CDD505-2E9C-101B-9397-08002B2CF9AE}" pid="4" name="Objective-CreationStamp">
    <vt:filetime>2014-12-23T21:16:15Z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2015-02-02T04:17:13Z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Psychology Chief Assessor's Report</vt:lpwstr>
  </property>
  <property fmtid="{D5CDD505-2E9C-101B-9397-08002B2CF9AE}" pid="14" name="Objective-Version">
    <vt:lpwstr>6.1</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