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967" w:rsidRDefault="00F102C3" w:rsidP="00C1235C">
      <w:pPr>
        <w:pStyle w:val="SAASubjectHeading"/>
      </w:pPr>
      <w:r>
        <w:t>2019 Legal Studies Subject Assessment Advice</w:t>
      </w:r>
    </w:p>
    <w:p w:rsidR="00420967" w:rsidRDefault="00F102C3" w:rsidP="00C1235C">
      <w:pPr>
        <w:pStyle w:val="SAAHeading2afterH1"/>
      </w:pPr>
      <w:r>
        <w:t>Overview</w:t>
      </w:r>
    </w:p>
    <w:p w:rsidR="00420967" w:rsidRDefault="00F102C3" w:rsidP="00C1235C">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rsidR="00420967" w:rsidRDefault="00F102C3" w:rsidP="00C1235C">
      <w:pPr>
        <w:pStyle w:val="SAABodytext"/>
      </w:pPr>
      <w:r>
        <w:t>Teachers should refer to the subject outline for specifications on content and learning requirements, and to the subject operational information for operational matters and key dates.</w:t>
      </w:r>
    </w:p>
    <w:p w:rsidR="00420967" w:rsidRDefault="00F102C3" w:rsidP="00C1235C">
      <w:pPr>
        <w:pStyle w:val="SAAHeading1"/>
      </w:pPr>
      <w:r>
        <w:t>School Assessment</w:t>
      </w:r>
    </w:p>
    <w:p w:rsidR="00420967" w:rsidRDefault="00F102C3" w:rsidP="00C1235C">
      <w:pPr>
        <w:pStyle w:val="SAAHeading2afterH1"/>
        <w:rPr>
          <w:rFonts w:eastAsia="Roboto Medium"/>
        </w:rPr>
      </w:pPr>
      <w:r>
        <w:rPr>
          <w:rFonts w:eastAsia="Roboto Medium"/>
        </w:rPr>
        <w:t>Assessment Type 1: Folio</w:t>
      </w:r>
    </w:p>
    <w:p w:rsidR="00420967" w:rsidRDefault="00F102C3" w:rsidP="00C1235C">
      <w:pPr>
        <w:pStyle w:val="SAABodytext"/>
      </w:pPr>
      <w:r>
        <w:t xml:space="preserve">Most folios comprised of a range of tasks and allowed assessment across the assessment design criteria, although some folios appeared to exceed the word limit.  For some folios, many of the concerns that were outlined 2018 Subject Assessment Advice continue to constrain student achievement, particularly in the areas of Inquiry and Analysis and Evaluation. </w:t>
      </w:r>
    </w:p>
    <w:p w:rsidR="00420967" w:rsidRDefault="00F102C3" w:rsidP="00C1235C">
      <w:pPr>
        <w:pStyle w:val="SAABodytextitalics"/>
      </w:pPr>
      <w:r>
        <w:t>The more successful responses commonly:</w:t>
      </w:r>
    </w:p>
    <w:p w:rsidR="00EB3A29" w:rsidRDefault="00F102C3" w:rsidP="00C1235C">
      <w:pPr>
        <w:pStyle w:val="SAABullets"/>
      </w:pPr>
      <w:r>
        <w:t>demonstrate</w:t>
      </w:r>
      <w:r w:rsidR="00EB3A29">
        <w:t>d achievement against</w:t>
      </w:r>
      <w:r w:rsidR="00257A01">
        <w:t xml:space="preserve"> all </w:t>
      </w:r>
      <w:r w:rsidR="00991BD3">
        <w:t>specific features</w:t>
      </w:r>
    </w:p>
    <w:p w:rsidR="00420967" w:rsidRDefault="00F102C3" w:rsidP="00C1235C">
      <w:pPr>
        <w:pStyle w:val="SAABullets"/>
      </w:pPr>
      <w:r>
        <w:t>show</w:t>
      </w:r>
      <w:r w:rsidR="00EB3A29">
        <w:t>ed evidence of</w:t>
      </w:r>
      <w:r w:rsidR="00257A01">
        <w:t xml:space="preserve"> </w:t>
      </w:r>
      <w:r w:rsidR="00257A01" w:rsidRPr="00257A01">
        <w:rPr>
          <w:i/>
        </w:rPr>
        <w:t>Inquiry</w:t>
      </w:r>
      <w:r w:rsidR="00257A01">
        <w:t xml:space="preserve"> and </w:t>
      </w:r>
      <w:r w:rsidR="00257A01" w:rsidRPr="00257A01">
        <w:rPr>
          <w:i/>
        </w:rPr>
        <w:t>Analysis and Evaluation</w:t>
      </w:r>
      <w:r w:rsidR="00257A01">
        <w:t xml:space="preserve"> </w:t>
      </w:r>
      <w:r w:rsidR="00EB3A29">
        <w:t>skills several times</w:t>
      </w:r>
    </w:p>
    <w:p w:rsidR="00420967" w:rsidRDefault="00E4517A" w:rsidP="00C1235C">
      <w:pPr>
        <w:pStyle w:val="SAABullets"/>
      </w:pPr>
      <w:r>
        <w:t>applied</w:t>
      </w:r>
      <w:r w:rsidR="00F102C3">
        <w:t xml:space="preserve"> knowledge and understanding to contemporary issues, pro</w:t>
      </w:r>
      <w:r>
        <w:t>mpting use</w:t>
      </w:r>
      <w:r w:rsidR="00031D3B">
        <w:t xml:space="preserve"> of</w:t>
      </w:r>
      <w:r>
        <w:t xml:space="preserve"> </w:t>
      </w:r>
      <w:r w:rsidRPr="00E4517A">
        <w:rPr>
          <w:i/>
        </w:rPr>
        <w:t>Inquiry</w:t>
      </w:r>
      <w:r w:rsidR="00F102C3">
        <w:t xml:space="preserve"> skills to </w:t>
      </w:r>
      <w:r w:rsidR="00031D3B">
        <w:t xml:space="preserve">show </w:t>
      </w:r>
      <w:r w:rsidR="00F102C3">
        <w:t>extend</w:t>
      </w:r>
      <w:r w:rsidR="00031D3B">
        <w:t>ed</w:t>
      </w:r>
      <w:r w:rsidR="00F102C3">
        <w:t xml:space="preserve"> knowledge</w:t>
      </w:r>
    </w:p>
    <w:p w:rsidR="00420967" w:rsidRDefault="00F102C3" w:rsidP="00C1235C">
      <w:pPr>
        <w:pStyle w:val="SAABullets"/>
      </w:pPr>
      <w:r>
        <w:t xml:space="preserve">included </w:t>
      </w:r>
      <w:r w:rsidR="00031D3B">
        <w:t xml:space="preserve">evidence of extensive </w:t>
      </w:r>
      <w:r>
        <w:t xml:space="preserve">research and use of appropriate bibliographies, which </w:t>
      </w:r>
      <w:r w:rsidR="00031D3B">
        <w:t xml:space="preserve">enabled higher levels for </w:t>
      </w:r>
      <w:r w:rsidR="00031D3B" w:rsidRPr="00031D3B">
        <w:rPr>
          <w:i/>
        </w:rPr>
        <w:t>Inquiry</w:t>
      </w:r>
    </w:p>
    <w:p w:rsidR="00420967" w:rsidRDefault="00031D3B" w:rsidP="00C1235C">
      <w:pPr>
        <w:pStyle w:val="SAABullets"/>
      </w:pPr>
      <w:r>
        <w:t xml:space="preserve">included </w:t>
      </w:r>
      <w:r w:rsidR="00F102C3">
        <w:t>record</w:t>
      </w:r>
      <w:r>
        <w:t>s</w:t>
      </w:r>
      <w:r w:rsidR="00F102C3">
        <w:t xml:space="preserve"> of performance</w:t>
      </w:r>
      <w:r>
        <w:t>s</w:t>
      </w:r>
      <w:r w:rsidR="00F102C3">
        <w:t xml:space="preserve"> in film, audio, or text that </w:t>
      </w:r>
      <w:r>
        <w:t xml:space="preserve">clearly demonstrated </w:t>
      </w:r>
      <w:r w:rsidR="00F102C3">
        <w:t>the standard achieved</w:t>
      </w:r>
      <w:r>
        <w:t xml:space="preserve"> in oral presentations and mock trials</w:t>
      </w:r>
    </w:p>
    <w:p w:rsidR="00420967" w:rsidRDefault="00F102C3" w:rsidP="00C1235C">
      <w:pPr>
        <w:pStyle w:val="SAABullets"/>
      </w:pPr>
      <w:r>
        <w:t xml:space="preserve">included relevant primary source materials, </w:t>
      </w:r>
      <w:r w:rsidR="00EB3A29">
        <w:t>using</w:t>
      </w:r>
      <w:r>
        <w:t xml:space="preserve"> current examples, and supporting material </w:t>
      </w:r>
      <w:r w:rsidR="00EB3A29">
        <w:t xml:space="preserve">that </w:t>
      </w:r>
      <w:r>
        <w:t>was not excessively long</w:t>
      </w:r>
    </w:p>
    <w:p w:rsidR="00420967" w:rsidRDefault="0069281F" w:rsidP="00C1235C">
      <w:pPr>
        <w:pStyle w:val="SAABullets"/>
      </w:pPr>
      <w:r>
        <w:t>responded</w:t>
      </w:r>
      <w:r w:rsidR="00A300BB">
        <w:t>,</w:t>
      </w:r>
      <w:r>
        <w:t xml:space="preserve"> </w:t>
      </w:r>
      <w:r w:rsidR="00A300BB">
        <w:t xml:space="preserve">using critical analysis and evaluation, </w:t>
      </w:r>
      <w:r>
        <w:t xml:space="preserve">to </w:t>
      </w:r>
      <w:r w:rsidR="00F102C3">
        <w:t xml:space="preserve">extended response questions in written tasks or tests </w:t>
      </w:r>
      <w:r w:rsidR="00EB3A29">
        <w:t>that</w:t>
      </w:r>
      <w:r w:rsidR="00F102C3">
        <w:t xml:space="preserve"> </w:t>
      </w:r>
      <w:r w:rsidR="00A300BB">
        <w:t>required</w:t>
      </w:r>
      <w:r w:rsidR="00F102C3">
        <w:t xml:space="preserve"> the presentation of oppo</w:t>
      </w:r>
      <w:r w:rsidR="00C1235C">
        <w:t>sing arguments and a conclusion</w:t>
      </w:r>
    </w:p>
    <w:p w:rsidR="00420967" w:rsidRDefault="00F102C3" w:rsidP="00C1235C">
      <w:pPr>
        <w:pStyle w:val="SAABullets"/>
      </w:pPr>
      <w:r>
        <w:t>demonstrate</w:t>
      </w:r>
      <w:r w:rsidR="00665284">
        <w:t>d</w:t>
      </w:r>
      <w:r>
        <w:t xml:space="preserve"> high level performance across all the specific features of knowledge and understanding, for example by requiring an extended answer addressing the response of the Australian legal system to one or more diverse group</w:t>
      </w:r>
      <w:r w:rsidR="00EB3A29">
        <w:t>s</w:t>
      </w:r>
      <w:r w:rsidR="00C1235C">
        <w:t xml:space="preserve"> in the community</w:t>
      </w:r>
    </w:p>
    <w:p w:rsidR="00420967" w:rsidRDefault="00665284" w:rsidP="00C1235C">
      <w:pPr>
        <w:pStyle w:val="SAABullets"/>
      </w:pPr>
      <w:r>
        <w:t>responded to</w:t>
      </w:r>
      <w:r w:rsidR="00F102C3">
        <w:t xml:space="preserve"> a range of assessment opportunities</w:t>
      </w:r>
      <w:r w:rsidR="00257A01">
        <w:t>,</w:t>
      </w:r>
      <w:r w:rsidR="00F102C3">
        <w:t xml:space="preserve"> </w:t>
      </w:r>
      <w:r w:rsidR="00257A01">
        <w:t>such as tests, essays and media responses, that</w:t>
      </w:r>
      <w:r w:rsidR="00F102C3">
        <w:t xml:space="preserve"> allow</w:t>
      </w:r>
      <w:r w:rsidR="00257A01">
        <w:t>ed</w:t>
      </w:r>
      <w:r w:rsidR="00F102C3">
        <w:t xml:space="preserve"> </w:t>
      </w:r>
      <w:r w:rsidR="00EB3A29">
        <w:t>individuals</w:t>
      </w:r>
      <w:r w:rsidR="00F102C3">
        <w:t xml:space="preserve"> to show their </w:t>
      </w:r>
      <w:r w:rsidR="00EB3A29">
        <w:t xml:space="preserve">various </w:t>
      </w:r>
      <w:r w:rsidR="000A5220">
        <w:t>strengths</w:t>
      </w:r>
      <w:r w:rsidR="002F4958">
        <w:t>.</w:t>
      </w:r>
    </w:p>
    <w:p w:rsidR="00C1235C" w:rsidRPr="00C1235C" w:rsidRDefault="00C1235C" w:rsidP="00C1235C">
      <w:pPr>
        <w:rPr>
          <w:lang w:eastAsia="en-US"/>
        </w:rPr>
      </w:pPr>
    </w:p>
    <w:p w:rsidR="00C1235C" w:rsidRDefault="00C1235C">
      <w:pPr>
        <w:sectPr w:rsidR="00C1235C">
          <w:footerReference w:type="default" r:id="rId8"/>
          <w:headerReference w:type="first" r:id="rId9"/>
          <w:footerReference w:type="first" r:id="rId10"/>
          <w:pgSz w:w="11906" w:h="16838"/>
          <w:pgMar w:top="2127" w:right="1133" w:bottom="1440" w:left="1440" w:header="708" w:footer="708" w:gutter="0"/>
          <w:pgNumType w:start="1"/>
          <w:cols w:space="720" w:equalWidth="0">
            <w:col w:w="9360"/>
          </w:cols>
          <w:titlePg/>
        </w:sectPr>
      </w:pPr>
    </w:p>
    <w:p w:rsidR="00420967" w:rsidRDefault="00F102C3" w:rsidP="00C1235C">
      <w:pPr>
        <w:pStyle w:val="SAABodytextitalics"/>
      </w:pPr>
      <w:r>
        <w:lastRenderedPageBreak/>
        <w:t>The less successful responses commonly:</w:t>
      </w:r>
    </w:p>
    <w:p w:rsidR="00420967" w:rsidRDefault="00A01943" w:rsidP="00FD0894">
      <w:pPr>
        <w:pStyle w:val="SAABullets"/>
      </w:pPr>
      <w:r>
        <w:t xml:space="preserve">responded to mostly ‘outline’ or ‘describe’ short-answer questions </w:t>
      </w:r>
      <w:r w:rsidR="00F102C3">
        <w:t xml:space="preserve">that provided limited opportunity for </w:t>
      </w:r>
      <w:r>
        <w:t>a</w:t>
      </w:r>
      <w:r w:rsidR="00F102C3">
        <w:t xml:space="preserve">nalysis and </w:t>
      </w:r>
      <w:r>
        <w:t>evaluation</w:t>
      </w:r>
      <w:r w:rsidR="00F102C3">
        <w:t xml:space="preserve"> at </w:t>
      </w:r>
      <w:r>
        <w:t>a high level</w:t>
      </w:r>
    </w:p>
    <w:p w:rsidR="00A01943" w:rsidRDefault="00A01943" w:rsidP="00FD0894">
      <w:pPr>
        <w:pStyle w:val="SAABullets"/>
      </w:pPr>
      <w:r>
        <w:t>provided a lengthy or superficial description of a principle, process</w:t>
      </w:r>
      <w:r w:rsidR="008D5C84">
        <w:t>,</w:t>
      </w:r>
      <w:r>
        <w:t xml:space="preserve"> or structure with little analysis and evaluation </w:t>
      </w:r>
      <w:r w:rsidR="003B1F17">
        <w:t>of concepts or arguments</w:t>
      </w:r>
    </w:p>
    <w:p w:rsidR="00420967" w:rsidRDefault="00F102C3" w:rsidP="00FD0894">
      <w:pPr>
        <w:pStyle w:val="SAABullets"/>
      </w:pPr>
      <w:r>
        <w:t xml:space="preserve">simply </w:t>
      </w:r>
      <w:r w:rsidR="000A5220">
        <w:t>stated</w:t>
      </w:r>
      <w:r>
        <w:t xml:space="preserve"> knowledge</w:t>
      </w:r>
      <w:r w:rsidR="000A5220">
        <w:t xml:space="preserve"> without demonstrating deep understanding of legal concepts or analysis of legal systems</w:t>
      </w:r>
    </w:p>
    <w:p w:rsidR="00420967" w:rsidRDefault="00A01943" w:rsidP="00FD0894">
      <w:pPr>
        <w:pStyle w:val="SAABullets"/>
      </w:pPr>
      <w:r>
        <w:t xml:space="preserve">responded to </w:t>
      </w:r>
      <w:r w:rsidR="00F102C3">
        <w:t xml:space="preserve">questions drawn from previous examinations </w:t>
      </w:r>
      <w:r>
        <w:t>but were</w:t>
      </w:r>
      <w:r w:rsidR="00F102C3">
        <w:t xml:space="preserve"> not completed under </w:t>
      </w:r>
      <w:r w:rsidR="003B1F17">
        <w:t>supervision</w:t>
      </w:r>
    </w:p>
    <w:p w:rsidR="00420967" w:rsidRDefault="003B1F17" w:rsidP="00FD0894">
      <w:pPr>
        <w:pStyle w:val="SAABullets"/>
      </w:pPr>
      <w:r>
        <w:t>responded to</w:t>
      </w:r>
      <w:r w:rsidR="00F102C3">
        <w:t xml:space="preserve"> task</w:t>
      </w:r>
      <w:r>
        <w:t>s</w:t>
      </w:r>
      <w:r w:rsidR="00F102C3">
        <w:t xml:space="preserve"> that</w:t>
      </w:r>
      <w:r>
        <w:t xml:space="preserve"> did not indicate</w:t>
      </w:r>
      <w:r w:rsidR="00F102C3">
        <w:t xml:space="preserve"> </w:t>
      </w:r>
      <w:r>
        <w:t>the specific features being assessed</w:t>
      </w:r>
    </w:p>
    <w:p w:rsidR="00420967" w:rsidRDefault="00F102C3" w:rsidP="00FD0894">
      <w:pPr>
        <w:pStyle w:val="SAABullets"/>
      </w:pPr>
      <w:r>
        <w:t xml:space="preserve">were </w:t>
      </w:r>
      <w:r w:rsidR="003B1F17">
        <w:t>hindered by excessively scaffolded tasks</w:t>
      </w:r>
      <w:r>
        <w:t xml:space="preserve"> that </w:t>
      </w:r>
      <w:r w:rsidR="003B1F17">
        <w:t>resulted in very similar student responses</w:t>
      </w:r>
      <w:r w:rsidR="002F4958">
        <w:t>.</w:t>
      </w:r>
    </w:p>
    <w:p w:rsidR="00420967" w:rsidRDefault="00F102C3" w:rsidP="00FD0894">
      <w:pPr>
        <w:pStyle w:val="SAAHeading2"/>
      </w:pPr>
      <w:r>
        <w:t>Assessment Type 2: Inquiry</w:t>
      </w:r>
    </w:p>
    <w:p w:rsidR="00420967" w:rsidRDefault="00332DFF" w:rsidP="00FD0894">
      <w:pPr>
        <w:pStyle w:val="SAABodytext"/>
      </w:pPr>
      <w:r>
        <w:t xml:space="preserve">Inquiry topics must be contemporary issues related to aspects of the Stage 2 Legal Studies subject outline.  </w:t>
      </w:r>
      <w:r w:rsidR="00F102C3">
        <w:t>As in previous years, the determining factor for a successful response was the choice of topic and the appropriate framing of a focus question relating to that topic.</w:t>
      </w:r>
    </w:p>
    <w:p w:rsidR="00420967" w:rsidRDefault="00F102C3" w:rsidP="00FD0894">
      <w:pPr>
        <w:pStyle w:val="SAABodytextitalics"/>
      </w:pPr>
      <w:r>
        <w:t>The more successful responses commonly:</w:t>
      </w:r>
    </w:p>
    <w:p w:rsidR="00420967" w:rsidRDefault="00F102C3" w:rsidP="00FD0894">
      <w:pPr>
        <w:pStyle w:val="SAABullets"/>
      </w:pPr>
      <w:r>
        <w:t>used a question or statement that could be argued rather than just identifying a broad topic</w:t>
      </w:r>
    </w:p>
    <w:p w:rsidR="008D7256" w:rsidRDefault="008D7256" w:rsidP="00FD0894">
      <w:pPr>
        <w:pStyle w:val="SAABullets"/>
      </w:pPr>
      <w:r>
        <w:t>had a narrow focus on specific aspects of the legal system, as opposed to broad concepts such as ‘republic’, ‘juries’, ‘death penalty, ‘abortion law’ or ‘adversary/inquisitorial systems’</w:t>
      </w:r>
    </w:p>
    <w:p w:rsidR="00420967" w:rsidRDefault="00F102C3" w:rsidP="00FD0894">
      <w:pPr>
        <w:pStyle w:val="SAABullets"/>
      </w:pPr>
      <w:r>
        <w:t>made good use of sub-headings that were relevant to the arguments being presented</w:t>
      </w:r>
    </w:p>
    <w:p w:rsidR="00420967" w:rsidRDefault="00F102C3" w:rsidP="00FD0894">
      <w:pPr>
        <w:pStyle w:val="SAABullets"/>
      </w:pPr>
      <w:r>
        <w:t>provided recommendations that related clearly to the arguments raised</w:t>
      </w:r>
    </w:p>
    <w:p w:rsidR="008D7256" w:rsidRDefault="008D7256" w:rsidP="00FD0894">
      <w:pPr>
        <w:pStyle w:val="SAABullets"/>
      </w:pPr>
      <w:r>
        <w:t>provided evidence from a recent source that showed that it was a current issue</w:t>
      </w:r>
    </w:p>
    <w:p w:rsidR="00420967" w:rsidRDefault="00F102C3" w:rsidP="00FD0894">
      <w:pPr>
        <w:pStyle w:val="SAABullets"/>
      </w:pPr>
      <w:r>
        <w:t>used a range of reputable sources that went well beyond classroom textbooks, Wikipedia, and short newspaper articles.</w:t>
      </w:r>
    </w:p>
    <w:p w:rsidR="00420967" w:rsidRDefault="00F102C3" w:rsidP="00FD0894">
      <w:pPr>
        <w:pStyle w:val="SAABodytextitalics"/>
      </w:pPr>
      <w:r>
        <w:t>The less successful responses commonly:</w:t>
      </w:r>
    </w:p>
    <w:p w:rsidR="00420967" w:rsidRDefault="00553019" w:rsidP="00FD0894">
      <w:pPr>
        <w:pStyle w:val="SAABullets"/>
      </w:pPr>
      <w:r>
        <w:t>responded to a very broad</w:t>
      </w:r>
      <w:r w:rsidR="00F102C3">
        <w:t xml:space="preserve"> question</w:t>
      </w:r>
      <w:r>
        <w:t>,</w:t>
      </w:r>
      <w:r w:rsidR="00F102C3">
        <w:t xml:space="preserve"> </w:t>
      </w:r>
      <w:r>
        <w:t>resulting in</w:t>
      </w:r>
      <w:r w:rsidR="00F102C3">
        <w:t xml:space="preserve"> response</w:t>
      </w:r>
      <w:r>
        <w:t>s</w:t>
      </w:r>
      <w:r w:rsidR="00F102C3">
        <w:t xml:space="preserve"> almost entirely devoted to explanation and description of concepts </w:t>
      </w:r>
      <w:r>
        <w:t>with</w:t>
      </w:r>
      <w:r w:rsidR="00F102C3">
        <w:t xml:space="preserve"> little to no </w:t>
      </w:r>
      <w:r>
        <w:t>a</w:t>
      </w:r>
      <w:r w:rsidR="00F102C3">
        <w:t xml:space="preserve">nalysis and </w:t>
      </w:r>
      <w:r>
        <w:t>e</w:t>
      </w:r>
      <w:r w:rsidR="00F102C3">
        <w:t>valuation</w:t>
      </w:r>
    </w:p>
    <w:p w:rsidR="00983907" w:rsidRDefault="00983907" w:rsidP="00FD0894">
      <w:pPr>
        <w:pStyle w:val="SAABullets"/>
      </w:pPr>
      <w:r>
        <w:t>did not research the topic in sufficient breadth or depth</w:t>
      </w:r>
    </w:p>
    <w:p w:rsidR="00420967" w:rsidRDefault="00F102C3" w:rsidP="00FD0894">
      <w:pPr>
        <w:pStyle w:val="SAABullets"/>
      </w:pPr>
      <w:r>
        <w:t>did not present both sides of an argument</w:t>
      </w:r>
    </w:p>
    <w:p w:rsidR="00420967" w:rsidRDefault="00553019" w:rsidP="00FD0894">
      <w:pPr>
        <w:pStyle w:val="SAABullets"/>
      </w:pPr>
      <w:r>
        <w:t>were constrained by</w:t>
      </w:r>
      <w:r w:rsidR="00F102C3">
        <w:t xml:space="preserve"> too much </w:t>
      </w:r>
      <w:r>
        <w:t xml:space="preserve">or inappropriate </w:t>
      </w:r>
      <w:r w:rsidR="00F102C3">
        <w:t xml:space="preserve">scaffolding </w:t>
      </w:r>
      <w:r>
        <w:t>in the task provided</w:t>
      </w:r>
    </w:p>
    <w:p w:rsidR="00420967" w:rsidRDefault="00F102C3" w:rsidP="00FD0894">
      <w:pPr>
        <w:pStyle w:val="SAABullets"/>
      </w:pPr>
      <w:r>
        <w:t>addressed social, political, physical education, or business and enterprise i</w:t>
      </w:r>
      <w:r w:rsidR="00FD0894">
        <w:t>ssues, rather than legal issues</w:t>
      </w:r>
      <w:r w:rsidR="002F4958">
        <w:t>.</w:t>
      </w:r>
    </w:p>
    <w:p w:rsidR="00420967" w:rsidRDefault="00F102C3" w:rsidP="00FD0894">
      <w:pPr>
        <w:pStyle w:val="SAAHeading1"/>
      </w:pPr>
      <w:r>
        <w:t>External Assessment</w:t>
      </w:r>
    </w:p>
    <w:p w:rsidR="006F6741" w:rsidRDefault="006F6741" w:rsidP="00FD0894">
      <w:pPr>
        <w:pStyle w:val="SAAHeading2afterH1"/>
      </w:pPr>
      <w:r>
        <w:t>Assessment Type 3: Exam</w:t>
      </w:r>
      <w:r w:rsidR="002F4958">
        <w:t>ination</w:t>
      </w:r>
    </w:p>
    <w:p w:rsidR="006F6741" w:rsidRDefault="006F6741" w:rsidP="00FD0894">
      <w:pPr>
        <w:pStyle w:val="SAABodytext"/>
      </w:pPr>
      <w:r>
        <w:t xml:space="preserve">The </w:t>
      </w:r>
      <w:r w:rsidR="00820AF9">
        <w:t>e</w:t>
      </w:r>
      <w:r>
        <w:t xml:space="preserve">xamination provided students with </w:t>
      </w:r>
      <w:r w:rsidR="00820AF9">
        <w:t>many</w:t>
      </w:r>
      <w:r>
        <w:t xml:space="preserve"> opportunit</w:t>
      </w:r>
      <w:r w:rsidR="00820AF9">
        <w:t>ies</w:t>
      </w:r>
      <w:r>
        <w:t xml:space="preserve"> to demonstrate their </w:t>
      </w:r>
      <w:r w:rsidR="00820AF9">
        <w:t>learning of legal principles, processes and structures against the criteria of</w:t>
      </w:r>
      <w:r>
        <w:t xml:space="preserve"> </w:t>
      </w:r>
      <w:r w:rsidRPr="00820AF9">
        <w:rPr>
          <w:i/>
        </w:rPr>
        <w:t>Knowledge and Understanding</w:t>
      </w:r>
      <w:r>
        <w:t xml:space="preserve">, </w:t>
      </w:r>
      <w:r w:rsidRPr="00820AF9">
        <w:rPr>
          <w:i/>
        </w:rPr>
        <w:t>Communicatio</w:t>
      </w:r>
      <w:r>
        <w:t xml:space="preserve">n, and </w:t>
      </w:r>
      <w:r w:rsidRPr="00820AF9">
        <w:rPr>
          <w:i/>
        </w:rPr>
        <w:t>Analysis and Evaluation</w:t>
      </w:r>
      <w:r>
        <w:t>.</w:t>
      </w:r>
    </w:p>
    <w:p w:rsidR="006F6741" w:rsidRPr="00DD31B4" w:rsidRDefault="006F6741" w:rsidP="007A00DF">
      <w:pPr>
        <w:pStyle w:val="SAAHeading3"/>
      </w:pPr>
      <w:r w:rsidRPr="00DD31B4">
        <w:t>Part A: Short Responses</w:t>
      </w:r>
    </w:p>
    <w:p w:rsidR="006F6741" w:rsidRDefault="00E01826" w:rsidP="00FD0894">
      <w:pPr>
        <w:pStyle w:val="SAABodytext"/>
      </w:pPr>
      <w:r>
        <w:t>Q</w:t>
      </w:r>
      <w:r w:rsidR="006F6741">
        <w:t>uestion directives such as ‘identify,’ ‘ou</w:t>
      </w:r>
      <w:r>
        <w:t>tline,’ ‘discuss,’ and ‘explain</w:t>
      </w:r>
      <w:r w:rsidR="006F6741">
        <w:t xml:space="preserve">’ </w:t>
      </w:r>
      <w:r>
        <w:t xml:space="preserve">are used to indicate the type of answer required. </w:t>
      </w:r>
      <w:r w:rsidR="006F6741">
        <w:t xml:space="preserve">The directive ‘outline’ requires a brief description, while ‘explain’ requires more detail. ‘Discuss’ requires students to weigh up competing factors and present arguments. Students can successfully </w:t>
      </w:r>
      <w:r w:rsidR="006F6741">
        <w:lastRenderedPageBreak/>
        <w:t>answer a ‘discuss’ directive by only addressing one side of the argument, or they may explain one point for each side of an argument.</w:t>
      </w:r>
    </w:p>
    <w:p w:rsidR="006F6741" w:rsidRPr="002F4958" w:rsidRDefault="006F6741" w:rsidP="00FD0894">
      <w:pPr>
        <w:pStyle w:val="SAABodytextitalics"/>
        <w:rPr>
          <w:i w:val="0"/>
        </w:rPr>
      </w:pPr>
      <w:r>
        <w:t>The more successful responses commonly:</w:t>
      </w:r>
    </w:p>
    <w:p w:rsidR="006F6741" w:rsidRDefault="00E01826" w:rsidP="00FD0894">
      <w:pPr>
        <w:pStyle w:val="SAABullets"/>
      </w:pPr>
      <w:r>
        <w:t>f</w:t>
      </w:r>
      <w:r w:rsidR="006F6741">
        <w:t xml:space="preserve">ollowed question directives and </w:t>
      </w:r>
      <w:r w:rsidR="00786E46">
        <w:t>addressed the wording of the question</w:t>
      </w:r>
    </w:p>
    <w:p w:rsidR="006F6741" w:rsidRDefault="00E01826" w:rsidP="00FD0894">
      <w:pPr>
        <w:pStyle w:val="SAABullets"/>
      </w:pPr>
      <w:r>
        <w:t>u</w:t>
      </w:r>
      <w:r w:rsidR="006F6741">
        <w:t>sed accurate, clear</w:t>
      </w:r>
      <w:r w:rsidR="00FD0894">
        <w:t>, and concise legal terminology</w:t>
      </w:r>
    </w:p>
    <w:p w:rsidR="006F6741" w:rsidRDefault="00E01826" w:rsidP="00FD0894">
      <w:pPr>
        <w:pStyle w:val="SAABullets"/>
      </w:pPr>
      <w:r>
        <w:t>d</w:t>
      </w:r>
      <w:r w:rsidR="006F6741">
        <w:t>emonstrated comprehensive knowledge and understanding, and perceptive analysis and evaluation, particularly on the ‘discuss’ questions</w:t>
      </w:r>
    </w:p>
    <w:p w:rsidR="006F6741" w:rsidRDefault="00E01826" w:rsidP="00FD0894">
      <w:pPr>
        <w:pStyle w:val="SAABullets"/>
      </w:pPr>
      <w:r>
        <w:t>e</w:t>
      </w:r>
      <w:r w:rsidR="006F6741">
        <w:t>ngaged with the stimulus when directed</w:t>
      </w:r>
    </w:p>
    <w:p w:rsidR="00E01826" w:rsidRDefault="00E01826" w:rsidP="00FD0894">
      <w:pPr>
        <w:pStyle w:val="SAABullets"/>
      </w:pPr>
      <w:r>
        <w:t xml:space="preserve">used only a word or a phrase when required by a </w:t>
      </w:r>
      <w:proofErr w:type="gramStart"/>
      <w:r>
        <w:t>1 mark</w:t>
      </w:r>
      <w:proofErr w:type="gramEnd"/>
      <w:r>
        <w:t xml:space="preserve"> question</w:t>
      </w:r>
      <w:r w:rsidR="00FD0894">
        <w:t>.</w:t>
      </w:r>
    </w:p>
    <w:p w:rsidR="006F6741" w:rsidRDefault="006F6741" w:rsidP="00FD0894">
      <w:pPr>
        <w:pStyle w:val="SAABodytextitalics"/>
      </w:pPr>
      <w:r>
        <w:t>The less successful responses commonly:</w:t>
      </w:r>
    </w:p>
    <w:p w:rsidR="006F6741" w:rsidRDefault="00E01826" w:rsidP="00FD0894">
      <w:pPr>
        <w:pStyle w:val="SAABullets"/>
      </w:pPr>
      <w:r>
        <w:t>w</w:t>
      </w:r>
      <w:r w:rsidR="006F6741">
        <w:t>ere too brief, particularly on ‘explain’ or ‘discuss’ questions</w:t>
      </w:r>
    </w:p>
    <w:p w:rsidR="006F6741" w:rsidRDefault="00E01826" w:rsidP="00FD0894">
      <w:pPr>
        <w:pStyle w:val="SAABullets"/>
      </w:pPr>
      <w:r>
        <w:t>d</w:t>
      </w:r>
      <w:r w:rsidR="006F6741">
        <w:t>emonstrated limited awareness of legal principles, processes, or structures</w:t>
      </w:r>
    </w:p>
    <w:p w:rsidR="00E01826" w:rsidRDefault="00E01826" w:rsidP="00FD0894">
      <w:pPr>
        <w:pStyle w:val="SAABullets"/>
      </w:pPr>
      <w:r>
        <w:t>rewrote the question</w:t>
      </w:r>
    </w:p>
    <w:p w:rsidR="006F6741" w:rsidRDefault="00E01826" w:rsidP="00FD0894">
      <w:pPr>
        <w:pStyle w:val="SAABullets"/>
      </w:pPr>
      <w:r>
        <w:t>d</w:t>
      </w:r>
      <w:r w:rsidR="006F6741">
        <w:t xml:space="preserve">id not answer </w:t>
      </w:r>
      <w:proofErr w:type="gramStart"/>
      <w:r w:rsidR="006F6741">
        <w:t>all of</w:t>
      </w:r>
      <w:proofErr w:type="gramEnd"/>
      <w:r w:rsidR="006F6741">
        <w:t xml:space="preserve"> the questions</w:t>
      </w:r>
      <w:r w:rsidR="00FD0894">
        <w:t>.</w:t>
      </w:r>
    </w:p>
    <w:p w:rsidR="006F6741" w:rsidRPr="00FD0894" w:rsidRDefault="006F6741" w:rsidP="00FD0894">
      <w:pPr>
        <w:pStyle w:val="SAAQuestion12etc"/>
      </w:pPr>
      <w:r w:rsidRPr="00FD0894">
        <w:t>Question 1</w:t>
      </w:r>
    </w:p>
    <w:p w:rsidR="006F6741" w:rsidRDefault="006F6741" w:rsidP="00FD0894">
      <w:pPr>
        <w:pStyle w:val="SAABodytext"/>
      </w:pPr>
      <w:r>
        <w:t xml:space="preserve">This question covered Topic </w:t>
      </w:r>
      <w:r w:rsidR="00FD0894">
        <w:t>1: The Australian Legal System.</w:t>
      </w:r>
    </w:p>
    <w:p w:rsidR="006F6741" w:rsidRDefault="006F6741" w:rsidP="00FD0894">
      <w:pPr>
        <w:pStyle w:val="SAAaBodytext"/>
      </w:pPr>
      <w:r>
        <w:t>Most students could identify the elements of negligence. However, less successful responses did not relate the elements to the situation depicted in the cartoon.</w:t>
      </w:r>
    </w:p>
    <w:p w:rsidR="006F6741" w:rsidRDefault="006F6741" w:rsidP="00FD0894">
      <w:pPr>
        <w:pStyle w:val="SAAaBodytext"/>
      </w:pPr>
      <w:r>
        <w:t>Generally well answered. Most students could identify an appropriate court, and the most successful students also gave an appropriate reason relating to either the amount of damages claimed or the complexity of the case.</w:t>
      </w:r>
    </w:p>
    <w:p w:rsidR="006F6741" w:rsidRDefault="006F6741" w:rsidP="00FD0894">
      <w:pPr>
        <w:pStyle w:val="SAAaBodytext"/>
      </w:pPr>
      <w:r>
        <w:t>The most successful responses included a reference to both civil and criminal processes in both parts (</w:t>
      </w:r>
      <w:proofErr w:type="spellStart"/>
      <w:r>
        <w:t>i</w:t>
      </w:r>
      <w:proofErr w:type="spellEnd"/>
      <w:r>
        <w:t>) and (ii). Less successful responses only referred to civil or criminal disputes, without clearly identifying a difference between the two.</w:t>
      </w:r>
    </w:p>
    <w:p w:rsidR="006F6741" w:rsidRDefault="006F6741" w:rsidP="00FD0894">
      <w:pPr>
        <w:pStyle w:val="SAAaBodytext"/>
      </w:pPr>
      <w:r>
        <w:t>Generally well answered. Most students were able to identify a feature of the rule of law e</w:t>
      </w:r>
      <w:r w:rsidR="00017BF6">
        <w:t>.</w:t>
      </w:r>
      <w:r>
        <w:t>g</w:t>
      </w:r>
      <w:r w:rsidR="00017BF6">
        <w:t>.</w:t>
      </w:r>
      <w:r>
        <w:t xml:space="preserve"> equality under the law, and explain how it was reflected in the cartoon e</w:t>
      </w:r>
      <w:r w:rsidR="00017BF6">
        <w:t>.</w:t>
      </w:r>
      <w:r>
        <w:t>g</w:t>
      </w:r>
      <w:r w:rsidR="00017BF6">
        <w:t>.</w:t>
      </w:r>
      <w:r>
        <w:t xml:space="preserve"> both men and women are able to vote.</w:t>
      </w:r>
    </w:p>
    <w:p w:rsidR="006F6741" w:rsidRDefault="006F6741" w:rsidP="00FD0894">
      <w:pPr>
        <w:pStyle w:val="SAAaBodytext"/>
      </w:pPr>
      <w:r>
        <w:t xml:space="preserve">This question was challenging for many students who were unable to outline conventions applied after an election, or gave inaccurate responses, such as </w:t>
      </w:r>
      <w:r w:rsidR="00017BF6">
        <w:t>‘</w:t>
      </w:r>
      <w:r>
        <w:t>the party with the most votes forms government</w:t>
      </w:r>
      <w:r w:rsidR="00017BF6">
        <w:t>’</w:t>
      </w:r>
      <w:r>
        <w:t>.</w:t>
      </w:r>
    </w:p>
    <w:p w:rsidR="006F6741" w:rsidRDefault="006F6741" w:rsidP="00FD0894">
      <w:pPr>
        <w:pStyle w:val="SAAaBodytext"/>
      </w:pPr>
      <w:r>
        <w:t>Most students could discuss the benefits of voting in general. The most successful responses engaged strongly with the ‘compulsory’ aspect and provided perceptive evaluation of the strengths and weaknesses of this for Australia’s system of parliamentary democracy.</w:t>
      </w:r>
    </w:p>
    <w:p w:rsidR="006F6741" w:rsidRPr="003A0702" w:rsidRDefault="006F6741" w:rsidP="00FD0894">
      <w:pPr>
        <w:pStyle w:val="SAAQuestion12etc"/>
      </w:pPr>
      <w:r w:rsidRPr="003A0702">
        <w:t>Question 2</w:t>
      </w:r>
    </w:p>
    <w:p w:rsidR="006F6741" w:rsidRDefault="006F6741" w:rsidP="00FD0894">
      <w:pPr>
        <w:pStyle w:val="SAABodytext"/>
      </w:pPr>
      <w:r>
        <w:t>This question covered Topic 2: Constitutional Government. The questions in this section were generally well answered.</w:t>
      </w:r>
    </w:p>
    <w:p w:rsidR="006F6741" w:rsidRDefault="006F6741" w:rsidP="00FD0894">
      <w:pPr>
        <w:pStyle w:val="SAAaBodytext"/>
        <w:numPr>
          <w:ilvl w:val="0"/>
          <w:numId w:val="17"/>
        </w:numPr>
      </w:pPr>
      <w:r>
        <w:t>Less successful responses did not focus specifically on the role of the Parliament, or were inaccurate.</w:t>
      </w:r>
    </w:p>
    <w:p w:rsidR="006F6741" w:rsidRDefault="006F6741" w:rsidP="00FD0894">
      <w:pPr>
        <w:pStyle w:val="SAAaBodytext"/>
        <w:numPr>
          <w:ilvl w:val="0"/>
          <w:numId w:val="17"/>
        </w:numPr>
      </w:pPr>
      <w:r>
        <w:t>Most students were able to identify an aspect of the referendum process and justify why it should be changed. Many students focused on the dual criteria and explained that it was too difficult to achieve.</w:t>
      </w:r>
    </w:p>
    <w:p w:rsidR="006F6741" w:rsidRDefault="006F6741" w:rsidP="00FD0894">
      <w:pPr>
        <w:pStyle w:val="SAAaBodytext"/>
        <w:numPr>
          <w:ilvl w:val="0"/>
          <w:numId w:val="17"/>
        </w:numPr>
      </w:pPr>
      <w:r>
        <w:t>Most students could identify a role of the Governor General. Less successful responses were unable to provide a convincing reason explaining why it should be retained.</w:t>
      </w:r>
    </w:p>
    <w:p w:rsidR="006F6741" w:rsidRDefault="006F6741" w:rsidP="00FD0894">
      <w:pPr>
        <w:pStyle w:val="SAAaBodytext"/>
        <w:numPr>
          <w:ilvl w:val="0"/>
          <w:numId w:val="17"/>
        </w:numPr>
      </w:pPr>
      <w:r>
        <w:t>Most students focused on either the reviewing function of the Senate, or its role in representing the interests of individual states, and could explain why this should be retained.</w:t>
      </w:r>
    </w:p>
    <w:p w:rsidR="006F6741" w:rsidRDefault="006F6741" w:rsidP="00FD0894">
      <w:pPr>
        <w:pStyle w:val="SAAaBodytext"/>
        <w:numPr>
          <w:ilvl w:val="0"/>
          <w:numId w:val="17"/>
        </w:numPr>
      </w:pPr>
      <w:r>
        <w:t>Some students could not accurately identify a residual power.</w:t>
      </w:r>
    </w:p>
    <w:p w:rsidR="006F6741" w:rsidRDefault="006F6741" w:rsidP="00FD0894">
      <w:pPr>
        <w:pStyle w:val="SAAaBodytext"/>
      </w:pPr>
      <w:r>
        <w:lastRenderedPageBreak/>
        <w:t>Successful responses provided a clear and concise argument. Some students wrote excessively long responses arguing both sides when only one argument on one side was required.</w:t>
      </w:r>
    </w:p>
    <w:p w:rsidR="006F6741" w:rsidRDefault="006F6741" w:rsidP="00FD0894">
      <w:pPr>
        <w:pStyle w:val="SAAaBodytext"/>
      </w:pPr>
      <w:r>
        <w:t>The most successful responses identified specific groups, such as Indigenous peoples or women, and provided perceptive arguments about the strengths and/or weaknesses of reserving seats in Commonwealth Parliament. Less successful responses gave broad and vague reasons.</w:t>
      </w:r>
    </w:p>
    <w:p w:rsidR="006F6741" w:rsidRPr="003A0702" w:rsidRDefault="006F6741" w:rsidP="00FD0894">
      <w:pPr>
        <w:pStyle w:val="SAAQuestion12etc"/>
      </w:pPr>
      <w:r w:rsidRPr="003A0702">
        <w:t>Question 3</w:t>
      </w:r>
    </w:p>
    <w:p w:rsidR="006F6741" w:rsidRDefault="006F6741" w:rsidP="00FD0894">
      <w:pPr>
        <w:pStyle w:val="SAABodytext"/>
      </w:pPr>
      <w:r>
        <w:t>This question covered Topic 3: Law-making. Overall, this was the most challenging section of the short responses for students.</w:t>
      </w:r>
    </w:p>
    <w:p w:rsidR="006F6741" w:rsidRDefault="006F6741" w:rsidP="00FD0894">
      <w:pPr>
        <w:pStyle w:val="SAABodytext"/>
      </w:pPr>
      <w:r>
        <w:t>Many students gave imprecise answers that lacked appropriate legal terminology.</w:t>
      </w:r>
    </w:p>
    <w:p w:rsidR="006F6741" w:rsidRDefault="006F6741" w:rsidP="00FD0894">
      <w:pPr>
        <w:pStyle w:val="SAAaBodytext"/>
        <w:numPr>
          <w:ilvl w:val="0"/>
          <w:numId w:val="18"/>
        </w:numPr>
      </w:pPr>
      <w:r>
        <w:t>Less successful responses gave vague or incomplete answers.</w:t>
      </w:r>
    </w:p>
    <w:p w:rsidR="006F6741" w:rsidRDefault="006F6741" w:rsidP="00FD0894">
      <w:pPr>
        <w:pStyle w:val="SAAaBodytext"/>
        <w:numPr>
          <w:ilvl w:val="0"/>
          <w:numId w:val="18"/>
        </w:numPr>
      </w:pPr>
      <w:r>
        <w:t>Few students identified the Office of Parliamentary Counsel.</w:t>
      </w:r>
    </w:p>
    <w:p w:rsidR="006F6741" w:rsidRDefault="00C416C0" w:rsidP="00FD0894">
      <w:pPr>
        <w:pStyle w:val="SAAaBodytext"/>
        <w:numPr>
          <w:ilvl w:val="0"/>
          <w:numId w:val="18"/>
        </w:numPr>
      </w:pPr>
      <w:r>
        <w:t>S</w:t>
      </w:r>
      <w:r w:rsidR="006F6741">
        <w:t>ome students wrote excessively long responses.</w:t>
      </w:r>
    </w:p>
    <w:p w:rsidR="006F6741" w:rsidRDefault="006F6741" w:rsidP="00FD0894">
      <w:pPr>
        <w:pStyle w:val="SAAaBodytext"/>
        <w:numPr>
          <w:ilvl w:val="0"/>
          <w:numId w:val="18"/>
        </w:numPr>
      </w:pPr>
      <w:r>
        <w:t>Popular cases selected included Donoghue v Stevenson, or Mabo [1] or [2]. Some students confused the facts between the two Mabo cases. Some students did not clearly identify a case.</w:t>
      </w:r>
    </w:p>
    <w:p w:rsidR="006F6741" w:rsidRDefault="00462B70" w:rsidP="00C416C0">
      <w:pPr>
        <w:pStyle w:val="SAAaBodytext"/>
        <w:numPr>
          <w:ilvl w:val="0"/>
          <w:numId w:val="18"/>
        </w:numPr>
      </w:pPr>
      <w:r>
        <w:t xml:space="preserve">Less successful responses only identified the types of precedent, or gave inaccurate information. </w:t>
      </w:r>
      <w:r w:rsidR="006F6741">
        <w:t>The most successful responses identified and outlined.</w:t>
      </w:r>
    </w:p>
    <w:p w:rsidR="006F6741" w:rsidRDefault="006F6741" w:rsidP="00FD0894">
      <w:pPr>
        <w:pStyle w:val="SAAaBodytext"/>
        <w:numPr>
          <w:ilvl w:val="0"/>
          <w:numId w:val="18"/>
        </w:numPr>
      </w:pPr>
      <w:r>
        <w:t>The most successful responses identified and outlined two methods. Less successful responses outlined without clearly identifying methods, confused methods, or gave inaccurate information.</w:t>
      </w:r>
    </w:p>
    <w:p w:rsidR="006F6741" w:rsidRDefault="006F6741" w:rsidP="00FD0894">
      <w:pPr>
        <w:pStyle w:val="SAAaBodytext"/>
        <w:numPr>
          <w:ilvl w:val="0"/>
          <w:numId w:val="18"/>
        </w:numPr>
      </w:pPr>
      <w:r>
        <w:t>Most students had a good understanding of the doctrine of precedent. The most successful responses engaged strongly with the concept of ‘just outcomes’ and provided clear and convincing arguments.</w:t>
      </w:r>
    </w:p>
    <w:p w:rsidR="006F6741" w:rsidRPr="003A0702" w:rsidRDefault="006F6741" w:rsidP="00C416C0">
      <w:pPr>
        <w:pStyle w:val="SAAQuestion12etc"/>
      </w:pPr>
      <w:r w:rsidRPr="003A0702">
        <w:t>Question 4</w:t>
      </w:r>
    </w:p>
    <w:p w:rsidR="006F6741" w:rsidRDefault="006F6741" w:rsidP="00C416C0">
      <w:pPr>
        <w:pStyle w:val="SAABodytext"/>
      </w:pPr>
      <w:r>
        <w:t>This question covered Topic 4: Justice Systems. The questions in this section were generally well answered.</w:t>
      </w:r>
    </w:p>
    <w:p w:rsidR="006F6741" w:rsidRDefault="006F6741" w:rsidP="00C416C0">
      <w:pPr>
        <w:pStyle w:val="SAAaBodytext"/>
        <w:numPr>
          <w:ilvl w:val="0"/>
          <w:numId w:val="19"/>
        </w:numPr>
      </w:pPr>
      <w:r>
        <w:t>Most students could outline two roles of the judge. Some students misread the question and outlined roles of the judge in the inquisitorial system.</w:t>
      </w:r>
    </w:p>
    <w:p w:rsidR="006F6741" w:rsidRDefault="006F6741" w:rsidP="00C416C0">
      <w:pPr>
        <w:pStyle w:val="SAAaBodytext"/>
        <w:numPr>
          <w:ilvl w:val="0"/>
          <w:numId w:val="19"/>
        </w:numPr>
      </w:pPr>
      <w:r>
        <w:t>Most students could identify two rights of the accused. Some students wrote excessively long answers.</w:t>
      </w:r>
    </w:p>
    <w:p w:rsidR="006F6741" w:rsidRDefault="006F6741" w:rsidP="00C416C0">
      <w:pPr>
        <w:pStyle w:val="SAAaBodytext"/>
        <w:numPr>
          <w:ilvl w:val="0"/>
          <w:numId w:val="19"/>
        </w:numPr>
      </w:pPr>
      <w:r>
        <w:t>Most students could outline types of evidence. Less successful responses identified a type of evidence, but lacked a brief explanation.</w:t>
      </w:r>
    </w:p>
    <w:p w:rsidR="00462B70" w:rsidRDefault="00462B70" w:rsidP="00C416C0">
      <w:pPr>
        <w:pStyle w:val="SAAaBodytext"/>
        <w:numPr>
          <w:ilvl w:val="0"/>
          <w:numId w:val="19"/>
        </w:numPr>
      </w:pPr>
      <w:r>
        <w:t>Most students were able to explain one advantage of using a jury.</w:t>
      </w:r>
    </w:p>
    <w:p w:rsidR="006F6741" w:rsidRDefault="006F6741" w:rsidP="00C416C0">
      <w:pPr>
        <w:pStyle w:val="SAAaBodytext"/>
        <w:numPr>
          <w:ilvl w:val="0"/>
          <w:numId w:val="19"/>
        </w:numPr>
      </w:pPr>
      <w:r>
        <w:t xml:space="preserve">Most students were able to explain </w:t>
      </w:r>
      <w:r w:rsidR="00462B70">
        <w:t>one</w:t>
      </w:r>
      <w:r>
        <w:t xml:space="preserve"> disadvantage of using a jury.</w:t>
      </w:r>
    </w:p>
    <w:p w:rsidR="006F6741" w:rsidRDefault="006F6741" w:rsidP="00C416C0">
      <w:pPr>
        <w:pStyle w:val="SAAaBodytext"/>
        <w:numPr>
          <w:ilvl w:val="0"/>
          <w:numId w:val="19"/>
        </w:numPr>
      </w:pPr>
      <w:r>
        <w:t>Less successful responses did not focus on the pre-trial stage.</w:t>
      </w:r>
    </w:p>
    <w:p w:rsidR="006F6741" w:rsidRDefault="006F6741" w:rsidP="00C416C0">
      <w:pPr>
        <w:pStyle w:val="SAAaBodytext"/>
        <w:numPr>
          <w:ilvl w:val="0"/>
          <w:numId w:val="19"/>
        </w:numPr>
      </w:pPr>
      <w:r>
        <w:t>Most students had a good understanding of the role of the judge in the inquisitorial system. The most successful responses engaged strongly with the concept of ‘just outcomes’ and provided clear and convincing arguments.</w:t>
      </w:r>
    </w:p>
    <w:p w:rsidR="006F6741" w:rsidRPr="003A0702" w:rsidRDefault="006F6741" w:rsidP="007A00DF">
      <w:pPr>
        <w:pStyle w:val="SAAHeading3"/>
      </w:pPr>
      <w:r w:rsidRPr="003A0702">
        <w:t>Part B: Extended Responses</w:t>
      </w:r>
    </w:p>
    <w:p w:rsidR="006F6741" w:rsidRPr="00324AB8" w:rsidRDefault="006F6741" w:rsidP="00C416C0">
      <w:pPr>
        <w:pStyle w:val="SAAHeading3afterH2"/>
      </w:pPr>
      <w:bookmarkStart w:id="0" w:name="_GoBack"/>
      <w:r w:rsidRPr="00324AB8">
        <w:t>Section 1</w:t>
      </w:r>
    </w:p>
    <w:bookmarkEnd w:id="0"/>
    <w:p w:rsidR="006F6741" w:rsidRDefault="006F6741" w:rsidP="00C416C0">
      <w:pPr>
        <w:pStyle w:val="SAABodytext"/>
      </w:pPr>
      <w:r>
        <w:t>Successful responses in (a) and (b) questions clearly outlined the knowledge and understanding required.</w:t>
      </w:r>
    </w:p>
    <w:p w:rsidR="006F6741" w:rsidRDefault="006F6741" w:rsidP="00C416C0">
      <w:pPr>
        <w:pStyle w:val="SAABodytext"/>
      </w:pPr>
      <w:r>
        <w:t>Some students wrote excessively long responses. Some students did not focus on ‘parliaments’ in 7(a), and outlined court cases. Most students could identify High Court cases for 5(b), but less successful responses were unable to explain them in relation to ‘rights.’ As in the short answer section, there was some confusion between Mabo [1] and [2].</w:t>
      </w:r>
    </w:p>
    <w:p w:rsidR="00C416C0" w:rsidRDefault="00C416C0">
      <w:pPr>
        <w:rPr>
          <w:rFonts w:eastAsiaTheme="minorHAnsi" w:cstheme="minorHAnsi"/>
          <w:bCs/>
          <w:szCs w:val="22"/>
          <w:lang w:eastAsia="en-US"/>
        </w:rPr>
      </w:pPr>
      <w:r>
        <w:br w:type="page"/>
      </w:r>
    </w:p>
    <w:p w:rsidR="006F6741" w:rsidRDefault="006F6741" w:rsidP="00C416C0">
      <w:pPr>
        <w:pStyle w:val="SAABodytext"/>
      </w:pPr>
      <w:r>
        <w:lastRenderedPageBreak/>
        <w:t>Part (c) continued to be the most challenging for students. The most successful responses included perceptive and critical analysis, and were of a reasonable length (more than one page). Successful responses provided judgments on both sides and included a conclusion. Less successful responses were brief and lacked detail, or were desc</w:t>
      </w:r>
      <w:r w:rsidR="00C416C0">
        <w:t>riptive rather than evaluative.</w:t>
      </w:r>
    </w:p>
    <w:p w:rsidR="006F6741" w:rsidRPr="00324AB8" w:rsidRDefault="006F6741" w:rsidP="007A00DF">
      <w:pPr>
        <w:pStyle w:val="SAAHeading3"/>
      </w:pPr>
      <w:r w:rsidRPr="00324AB8">
        <w:t>Section 2</w:t>
      </w:r>
    </w:p>
    <w:p w:rsidR="006F6741" w:rsidRDefault="006F6741" w:rsidP="00C416C0">
      <w:pPr>
        <w:pStyle w:val="SAABodytext"/>
      </w:pPr>
      <w:r w:rsidRPr="00C416C0">
        <w:rPr>
          <w:rStyle w:val="SAABold"/>
        </w:rPr>
        <w:t>Question 9</w:t>
      </w:r>
      <w:r>
        <w:t xml:space="preserve"> was the most popular. However, students generally lacked adequate understanding of the principle of the separation of powers and struggled to move beyond an explanation of the three arms of government and how each upholds the functions of law. Most students did not explore the system of checks and balances between the three arms. </w:t>
      </w:r>
      <w:r w:rsidRPr="00C416C0">
        <w:rPr>
          <w:rStyle w:val="SAABold"/>
        </w:rPr>
        <w:t>Questions 10-12</w:t>
      </w:r>
      <w:r>
        <w:t xml:space="preserve"> were less popular, but generally responses were of a better quality.</w:t>
      </w:r>
    </w:p>
    <w:p w:rsidR="006F6741" w:rsidRDefault="006F6741" w:rsidP="00C416C0">
      <w:pPr>
        <w:pStyle w:val="SAABodytext"/>
      </w:pPr>
      <w:r>
        <w:t>The most successful responses commonly:</w:t>
      </w:r>
    </w:p>
    <w:p w:rsidR="006F6741" w:rsidRDefault="00A65E8D" w:rsidP="00C416C0">
      <w:pPr>
        <w:pStyle w:val="SAABullets"/>
      </w:pPr>
      <w:r>
        <w:t>a</w:t>
      </w:r>
      <w:r w:rsidR="006F6741">
        <w:t>ddressed all parts of the proposition</w:t>
      </w:r>
    </w:p>
    <w:p w:rsidR="00A65E8D" w:rsidRDefault="00A65E8D" w:rsidP="00C416C0">
      <w:pPr>
        <w:pStyle w:val="SAABullets"/>
      </w:pPr>
      <w:r>
        <w:t xml:space="preserve">were detailed and </w:t>
      </w:r>
      <w:r w:rsidR="006F6741" w:rsidRPr="00EC7981">
        <w:t>contained at least 4-5 judgements directly related to the proposition</w:t>
      </w:r>
    </w:p>
    <w:p w:rsidR="006F6741" w:rsidRDefault="00A65E8D" w:rsidP="00C416C0">
      <w:pPr>
        <w:pStyle w:val="SAABullets"/>
      </w:pPr>
      <w:r w:rsidRPr="00EC7981">
        <w:t xml:space="preserve">explained </w:t>
      </w:r>
      <w:r w:rsidR="006F6741" w:rsidRPr="00EC7981">
        <w:t xml:space="preserve">judgements in </w:t>
      </w:r>
      <w:r>
        <w:t xml:space="preserve">at least 4-5 sentences each and </w:t>
      </w:r>
      <w:r w:rsidR="006F6741" w:rsidRPr="00EC7981">
        <w:t xml:space="preserve">supported </w:t>
      </w:r>
      <w:r>
        <w:t>them with relevant examples</w:t>
      </w:r>
    </w:p>
    <w:p w:rsidR="006F6741" w:rsidRDefault="00A65E8D" w:rsidP="00C416C0">
      <w:pPr>
        <w:pStyle w:val="SAABullets"/>
      </w:pPr>
      <w:r>
        <w:t>u</w:t>
      </w:r>
      <w:r w:rsidR="006F6741">
        <w:t>sed accurate and appropriate legal terminology</w:t>
      </w:r>
    </w:p>
    <w:p w:rsidR="006F6741" w:rsidRDefault="00A65E8D" w:rsidP="00C416C0">
      <w:pPr>
        <w:pStyle w:val="SAABullets"/>
      </w:pPr>
      <w:r>
        <w:t>p</w:t>
      </w:r>
      <w:r w:rsidR="006F6741">
        <w:t>rovided multiple well-explained judgments</w:t>
      </w:r>
    </w:p>
    <w:p w:rsidR="006F6741" w:rsidRDefault="00A65E8D" w:rsidP="00C416C0">
      <w:pPr>
        <w:pStyle w:val="SAABullets"/>
      </w:pPr>
      <w:r>
        <w:t>e</w:t>
      </w:r>
      <w:r w:rsidR="006F6741">
        <w:t>valuated aspects of the legal system</w:t>
      </w:r>
    </w:p>
    <w:p w:rsidR="006F6741" w:rsidRDefault="00A65E8D" w:rsidP="00C416C0">
      <w:pPr>
        <w:pStyle w:val="SAABullets"/>
      </w:pPr>
      <w:r>
        <w:t>i</w:t>
      </w:r>
      <w:r w:rsidR="006F6741">
        <w:t>ncluded and analysed relevant examples</w:t>
      </w:r>
    </w:p>
    <w:p w:rsidR="006F6741" w:rsidRDefault="00A65E8D" w:rsidP="00C416C0">
      <w:pPr>
        <w:pStyle w:val="SAABullets"/>
      </w:pPr>
      <w:r>
        <w:t>e</w:t>
      </w:r>
      <w:r w:rsidR="006F6741">
        <w:t>xplored and evaluated both sides of the proposition</w:t>
      </w:r>
    </w:p>
    <w:p w:rsidR="006F6741" w:rsidRDefault="00A65E8D" w:rsidP="00C416C0">
      <w:pPr>
        <w:pStyle w:val="SAABullets"/>
      </w:pPr>
      <w:r>
        <w:t>c</w:t>
      </w:r>
      <w:r w:rsidR="006F6741">
        <w:t>ontained clear paragraphs</w:t>
      </w:r>
    </w:p>
    <w:p w:rsidR="006F6741" w:rsidRDefault="00A65E8D" w:rsidP="00C416C0">
      <w:pPr>
        <w:pStyle w:val="SAABullets"/>
      </w:pPr>
      <w:r>
        <w:t>i</w:t>
      </w:r>
      <w:r w:rsidR="006F6741">
        <w:t>ncluded a detailed conclusion</w:t>
      </w:r>
      <w:r w:rsidR="00C416C0">
        <w:t>.</w:t>
      </w:r>
    </w:p>
    <w:p w:rsidR="006F6741" w:rsidRPr="005F14A0" w:rsidRDefault="006F6741" w:rsidP="00C416C0">
      <w:pPr>
        <w:pStyle w:val="SAABodytextitalics"/>
      </w:pPr>
      <w:r w:rsidRPr="005F14A0">
        <w:t>The less successful responses commonly:</w:t>
      </w:r>
    </w:p>
    <w:p w:rsidR="006F6741" w:rsidRDefault="004D293A" w:rsidP="00C416C0">
      <w:pPr>
        <w:pStyle w:val="SAABullets"/>
      </w:pPr>
      <w:r>
        <w:t>d</w:t>
      </w:r>
      <w:r w:rsidR="006F6741">
        <w:t>id not address all parts of the proposition</w:t>
      </w:r>
    </w:p>
    <w:p w:rsidR="006F6741" w:rsidRDefault="004D293A" w:rsidP="00C416C0">
      <w:pPr>
        <w:pStyle w:val="SAABullets"/>
      </w:pPr>
      <w:r>
        <w:t>w</w:t>
      </w:r>
      <w:r w:rsidR="006F6741">
        <w:t>ere brief</w:t>
      </w:r>
    </w:p>
    <w:p w:rsidR="006F6741" w:rsidRDefault="004D293A" w:rsidP="00C416C0">
      <w:pPr>
        <w:pStyle w:val="SAABullets"/>
      </w:pPr>
      <w:r>
        <w:t>u</w:t>
      </w:r>
      <w:r w:rsidR="006F6741">
        <w:t>sed inaccurate legal terminology</w:t>
      </w:r>
    </w:p>
    <w:p w:rsidR="006F6741" w:rsidRDefault="004D293A" w:rsidP="00C416C0">
      <w:pPr>
        <w:pStyle w:val="SAABullets"/>
      </w:pPr>
      <w:r>
        <w:t>c</w:t>
      </w:r>
      <w:r w:rsidR="006F6741">
        <w:t xml:space="preserve">ontained description rather than judgments, or judgments were superficial </w:t>
      </w:r>
    </w:p>
    <w:p w:rsidR="006F6741" w:rsidRDefault="006F6741" w:rsidP="00C416C0">
      <w:pPr>
        <w:pStyle w:val="SAABullets"/>
      </w:pPr>
      <w:r>
        <w:t xml:space="preserve">identified examples </w:t>
      </w:r>
      <w:r w:rsidR="0031294B">
        <w:t>but did not include</w:t>
      </w:r>
      <w:r>
        <w:t xml:space="preserve"> adequate explanation</w:t>
      </w:r>
    </w:p>
    <w:p w:rsidR="006F6741" w:rsidRDefault="004D293A" w:rsidP="00C416C0">
      <w:pPr>
        <w:pStyle w:val="SAABullets"/>
      </w:pPr>
      <w:r>
        <w:t>d</w:t>
      </w:r>
      <w:r w:rsidR="006F6741">
        <w:t>id not explore all sides of the proposition</w:t>
      </w:r>
    </w:p>
    <w:p w:rsidR="006F6741" w:rsidRDefault="004D293A" w:rsidP="00C416C0">
      <w:pPr>
        <w:pStyle w:val="SAABullets"/>
      </w:pPr>
      <w:r>
        <w:t>l</w:t>
      </w:r>
      <w:r w:rsidR="006F6741">
        <w:t>acked structure</w:t>
      </w:r>
    </w:p>
    <w:p w:rsidR="006F6741" w:rsidRDefault="004D293A" w:rsidP="00C416C0">
      <w:pPr>
        <w:pStyle w:val="SAABullets"/>
      </w:pPr>
      <w:r>
        <w:t>c</w:t>
      </w:r>
      <w:r w:rsidR="006F6741">
        <w:t>ontained a brief conclusion</w:t>
      </w:r>
    </w:p>
    <w:p w:rsidR="006F6741" w:rsidRPr="006F6741" w:rsidRDefault="006F6741" w:rsidP="00C416C0">
      <w:pPr>
        <w:pStyle w:val="SAABullets"/>
      </w:pPr>
      <w:r>
        <w:t>ignored the question an</w:t>
      </w:r>
      <w:r w:rsidR="004D293A">
        <w:t>d wrote a pre-prepared response</w:t>
      </w:r>
      <w:r w:rsidR="00C416C0">
        <w:t>.</w:t>
      </w:r>
    </w:p>
    <w:sectPr w:rsidR="006F6741" w:rsidRPr="006F6741" w:rsidSect="002F4958">
      <w:headerReference w:type="default" r:id="rId11"/>
      <w:footerReference w:type="default" r:id="rId12"/>
      <w:headerReference w:type="first" r:id="rId13"/>
      <w:footerReference w:type="first" r:id="rId14"/>
      <w:pgSz w:w="11906" w:h="16838"/>
      <w:pgMar w:top="1132" w:right="1435" w:bottom="1440" w:left="966" w:header="708" w:footer="708"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D2A" w:rsidRDefault="00A81D2A">
      <w:pPr>
        <w:spacing w:after="0"/>
      </w:pPr>
      <w:r>
        <w:separator/>
      </w:r>
    </w:p>
  </w:endnote>
  <w:endnote w:type="continuationSeparator" w:id="0">
    <w:p w:rsidR="00A81D2A" w:rsidRDefault="00A81D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altName w:val="Times New Roman"/>
    <w:panose1 w:val="00000000000000000000"/>
    <w:charset w:val="00"/>
    <w:family w:val="auto"/>
    <w:pitch w:val="variable"/>
    <w:sig w:usb0="E00002FF" w:usb1="5000205B" w:usb2="00000020" w:usb3="00000000" w:csb0="0000019F" w:csb1="00000000"/>
    <w:embedRegular r:id="rId1" w:fontKey="{412E86FB-81F6-4F41-856B-45B26489668E}"/>
    <w:embedBold r:id="rId2" w:fontKey="{C56509A3-E3F7-42CA-B9C6-2BEC94F381DB}"/>
    <w:embedItalic r:id="rId3" w:fontKey="{73313092-AD10-4163-B567-9EAEC74E55C6}"/>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Medium">
    <w:panose1 w:val="00000000000000000000"/>
    <w:charset w:val="00"/>
    <w:family w:val="auto"/>
    <w:pitch w:val="variable"/>
    <w:sig w:usb0="E00002FF" w:usb1="5000205B" w:usb2="00000020" w:usb3="00000000" w:csb0="0000019F" w:csb1="00000000"/>
    <w:embedRegular r:id="rId4" w:fontKey="{4A37562C-5930-4E2F-B7C5-F46152B3DC32}"/>
    <w:embedBoldItalic r:id="rId5" w:fontKey="{B4724D08-84D1-46C4-8EAA-2B54C5F7A69B}"/>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967" w:rsidRDefault="00F102C3">
    <w:pPr>
      <w:pBdr>
        <w:top w:val="nil"/>
        <w:left w:val="nil"/>
        <w:bottom w:val="nil"/>
        <w:right w:val="nil"/>
        <w:between w:val="nil"/>
      </w:pBdr>
      <w:tabs>
        <w:tab w:val="right" w:pos="9639"/>
        <w:tab w:val="right" w:pos="14742"/>
      </w:tabs>
      <w:spacing w:after="0"/>
      <w:rPr>
        <w:color w:val="000000"/>
        <w:sz w:val="14"/>
        <w:szCs w:val="14"/>
      </w:rPr>
    </w:pPr>
    <w:r>
      <w:rPr>
        <w:color w:val="000000"/>
        <w:sz w:val="14"/>
        <w:szCs w:val="14"/>
      </w:rPr>
      <w:t>Stage 2 Subject – 2019 Subject Assessment Advice</w:t>
    </w:r>
    <w:r>
      <w:rPr>
        <w:color w:val="000000"/>
        <w:sz w:val="14"/>
        <w:szCs w:val="14"/>
      </w:rPr>
      <w:tab/>
      <w:t xml:space="preserve">Page </w:t>
    </w:r>
    <w:r w:rsidRPr="006D7B33">
      <w:rPr>
        <w:color w:val="000000"/>
        <w:sz w:val="14"/>
        <w:szCs w:val="14"/>
      </w:rPr>
      <w:fldChar w:fldCharType="begin"/>
    </w:r>
    <w:r w:rsidRPr="006D7B33">
      <w:rPr>
        <w:color w:val="000000"/>
        <w:sz w:val="14"/>
        <w:szCs w:val="14"/>
      </w:rPr>
      <w:instrText>PAGE</w:instrText>
    </w:r>
    <w:r w:rsidRPr="006D7B33">
      <w:rPr>
        <w:color w:val="000000"/>
        <w:sz w:val="14"/>
        <w:szCs w:val="14"/>
      </w:rPr>
      <w:fldChar w:fldCharType="separate"/>
    </w:r>
    <w:r w:rsidR="00C1235C">
      <w:rPr>
        <w:noProof/>
        <w:color w:val="000000"/>
        <w:sz w:val="14"/>
        <w:szCs w:val="14"/>
      </w:rPr>
      <w:t>2</w:t>
    </w:r>
    <w:r w:rsidRPr="006D7B33">
      <w:rPr>
        <w:color w:val="000000"/>
        <w:sz w:val="14"/>
        <w:szCs w:val="14"/>
      </w:rPr>
      <w:fldChar w:fldCharType="end"/>
    </w:r>
    <w:r w:rsidRPr="006D7B33">
      <w:rPr>
        <w:color w:val="000000"/>
        <w:sz w:val="14"/>
        <w:szCs w:val="14"/>
      </w:rPr>
      <w:t xml:space="preserve"> of </w:t>
    </w:r>
    <w:r w:rsidRPr="006D7B33">
      <w:rPr>
        <w:color w:val="000000"/>
        <w:sz w:val="14"/>
        <w:szCs w:val="14"/>
      </w:rPr>
      <w:fldChar w:fldCharType="begin"/>
    </w:r>
    <w:r w:rsidRPr="006D7B33">
      <w:rPr>
        <w:color w:val="000000"/>
        <w:sz w:val="14"/>
        <w:szCs w:val="14"/>
      </w:rPr>
      <w:instrText>NUMPAGES</w:instrText>
    </w:r>
    <w:r w:rsidRPr="006D7B33">
      <w:rPr>
        <w:color w:val="000000"/>
        <w:sz w:val="14"/>
        <w:szCs w:val="14"/>
      </w:rPr>
      <w:fldChar w:fldCharType="separate"/>
    </w:r>
    <w:r w:rsidR="004A63CE">
      <w:rPr>
        <w:noProof/>
        <w:color w:val="000000"/>
        <w:sz w:val="14"/>
        <w:szCs w:val="14"/>
      </w:rPr>
      <w:t>5</w:t>
    </w:r>
    <w:r w:rsidRPr="006D7B33">
      <w:rPr>
        <w:color w:val="000000"/>
        <w:sz w:val="14"/>
        <w:szCs w:val="14"/>
      </w:rPr>
      <w:fldChar w:fldCharType="end"/>
    </w:r>
  </w:p>
  <w:p w:rsidR="00420967" w:rsidRDefault="00F102C3">
    <w:pPr>
      <w:pBdr>
        <w:top w:val="nil"/>
        <w:left w:val="nil"/>
        <w:bottom w:val="nil"/>
        <w:right w:val="nil"/>
        <w:between w:val="nil"/>
      </w:pBdr>
      <w:tabs>
        <w:tab w:val="right" w:pos="9639"/>
        <w:tab w:val="right" w:pos="14742"/>
      </w:tabs>
      <w:spacing w:after="0"/>
      <w:rPr>
        <w:color w:val="000000"/>
        <w:sz w:val="14"/>
        <w:szCs w:val="14"/>
      </w:rPr>
    </w:pPr>
    <w:r>
      <w:rPr>
        <w:color w:val="000000"/>
        <w:sz w:val="14"/>
        <w:szCs w:val="14"/>
      </w:rPr>
      <w:t xml:space="preserve">Ref: </w:t>
    </w:r>
    <w:r w:rsidRPr="00084110">
      <w:rPr>
        <w:color w:val="000000"/>
        <w:sz w:val="14"/>
        <w:szCs w:val="14"/>
      </w:rPr>
      <w:t>A</w:t>
    </w:r>
    <w:proofErr w:type="gramStart"/>
    <w:r w:rsidRPr="00084110">
      <w:rPr>
        <w:color w:val="000000"/>
        <w:sz w:val="14"/>
        <w:szCs w:val="14"/>
      </w:rPr>
      <w:t>679916</w:t>
    </w:r>
    <w:r>
      <w:rPr>
        <w:color w:val="000000"/>
        <w:sz w:val="14"/>
        <w:szCs w:val="14"/>
      </w:rPr>
      <w:t xml:space="preserve">  ©</w:t>
    </w:r>
    <w:proofErr w:type="gramEnd"/>
    <w:r>
      <w:rPr>
        <w:color w:val="000000"/>
        <w:sz w:val="14"/>
        <w:szCs w:val="14"/>
      </w:rPr>
      <w:t xml:space="preserve"> SACE Board of South Australia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967" w:rsidRDefault="002F4958" w:rsidP="00C1235C">
    <w:pPr>
      <w:pBdr>
        <w:top w:val="nil"/>
        <w:left w:val="nil"/>
        <w:bottom w:val="nil"/>
        <w:right w:val="nil"/>
        <w:between w:val="nil"/>
      </w:pBdr>
      <w:tabs>
        <w:tab w:val="right" w:pos="8364"/>
      </w:tabs>
      <w:spacing w:after="0"/>
      <w:rPr>
        <w:color w:val="000000"/>
        <w:sz w:val="14"/>
        <w:szCs w:val="14"/>
      </w:rPr>
    </w:pPr>
    <w:r>
      <w:rPr>
        <w:noProof/>
      </w:rPr>
      <w:drawing>
        <wp:anchor distT="0" distB="0" distL="114300" distR="114300" simplePos="0" relativeHeight="251660288" behindDoc="1" locked="0" layoutInCell="1" allowOverlap="1" wp14:anchorId="217ABCF7" wp14:editId="7CB02140">
          <wp:simplePos x="0" y="0"/>
          <wp:positionH relativeFrom="column">
            <wp:posOffset>4737100</wp:posOffset>
          </wp:positionH>
          <wp:positionV relativeFrom="paragraph">
            <wp:posOffset>-653415</wp:posOffset>
          </wp:positionV>
          <wp:extent cx="1901825" cy="1304290"/>
          <wp:effectExtent l="0" t="0" r="3175" b="0"/>
          <wp:wrapNone/>
          <wp:docPr id="16" name="Picture 1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F102C3">
      <w:rPr>
        <w:color w:val="000000"/>
        <w:sz w:val="14"/>
        <w:szCs w:val="14"/>
      </w:rPr>
      <w:t xml:space="preserve">Stage 2 </w:t>
    </w:r>
    <w:r w:rsidR="00C1235C">
      <w:rPr>
        <w:color w:val="000000"/>
        <w:sz w:val="14"/>
        <w:szCs w:val="14"/>
      </w:rPr>
      <w:t>Legal Studies</w:t>
    </w:r>
    <w:r w:rsidR="00F102C3">
      <w:rPr>
        <w:color w:val="000000"/>
        <w:sz w:val="14"/>
        <w:szCs w:val="14"/>
      </w:rPr>
      <w:t xml:space="preserve"> – 2019 Subject Assessment Advice</w:t>
    </w:r>
    <w:r w:rsidR="00F102C3">
      <w:rPr>
        <w:color w:val="000000"/>
        <w:sz w:val="14"/>
        <w:szCs w:val="14"/>
      </w:rPr>
      <w:tab/>
      <w:t xml:space="preserve">Page </w:t>
    </w:r>
    <w:r w:rsidR="00F102C3" w:rsidRPr="006D7B33">
      <w:rPr>
        <w:color w:val="000000"/>
        <w:sz w:val="14"/>
        <w:szCs w:val="14"/>
      </w:rPr>
      <w:fldChar w:fldCharType="begin"/>
    </w:r>
    <w:r w:rsidR="00F102C3" w:rsidRPr="006D7B33">
      <w:rPr>
        <w:color w:val="000000"/>
        <w:sz w:val="14"/>
        <w:szCs w:val="14"/>
      </w:rPr>
      <w:instrText>PAGE</w:instrText>
    </w:r>
    <w:r w:rsidR="00F102C3" w:rsidRPr="006D7B33">
      <w:rPr>
        <w:color w:val="000000"/>
        <w:sz w:val="14"/>
        <w:szCs w:val="14"/>
      </w:rPr>
      <w:fldChar w:fldCharType="separate"/>
    </w:r>
    <w:r w:rsidR="00813113">
      <w:rPr>
        <w:noProof/>
        <w:color w:val="000000"/>
        <w:sz w:val="14"/>
        <w:szCs w:val="14"/>
      </w:rPr>
      <w:t>1</w:t>
    </w:r>
    <w:r w:rsidR="00F102C3" w:rsidRPr="006D7B33">
      <w:rPr>
        <w:color w:val="000000"/>
        <w:sz w:val="14"/>
        <w:szCs w:val="14"/>
      </w:rPr>
      <w:fldChar w:fldCharType="end"/>
    </w:r>
    <w:r w:rsidR="00F102C3" w:rsidRPr="006D7B33">
      <w:rPr>
        <w:color w:val="000000"/>
        <w:sz w:val="14"/>
        <w:szCs w:val="14"/>
      </w:rPr>
      <w:t xml:space="preserve"> of </w:t>
    </w:r>
    <w:r w:rsidR="00F102C3" w:rsidRPr="006D7B33">
      <w:rPr>
        <w:color w:val="000000"/>
        <w:sz w:val="14"/>
        <w:szCs w:val="14"/>
      </w:rPr>
      <w:fldChar w:fldCharType="begin"/>
    </w:r>
    <w:r w:rsidR="00F102C3" w:rsidRPr="006D7B33">
      <w:rPr>
        <w:color w:val="000000"/>
        <w:sz w:val="14"/>
        <w:szCs w:val="14"/>
      </w:rPr>
      <w:instrText>NUMPAGES</w:instrText>
    </w:r>
    <w:r w:rsidR="00F102C3" w:rsidRPr="006D7B33">
      <w:rPr>
        <w:color w:val="000000"/>
        <w:sz w:val="14"/>
        <w:szCs w:val="14"/>
      </w:rPr>
      <w:fldChar w:fldCharType="separate"/>
    </w:r>
    <w:r w:rsidR="00813113">
      <w:rPr>
        <w:noProof/>
        <w:color w:val="000000"/>
        <w:sz w:val="14"/>
        <w:szCs w:val="14"/>
      </w:rPr>
      <w:t>5</w:t>
    </w:r>
    <w:r w:rsidR="00F102C3" w:rsidRPr="006D7B33">
      <w:rPr>
        <w:color w:val="000000"/>
        <w:sz w:val="14"/>
        <w:szCs w:val="14"/>
      </w:rPr>
      <w:fldChar w:fldCharType="end"/>
    </w:r>
  </w:p>
  <w:p w:rsidR="00B524B2" w:rsidRDefault="00B524B2" w:rsidP="00B524B2">
    <w:pPr>
      <w:pBdr>
        <w:top w:val="nil"/>
        <w:left w:val="nil"/>
        <w:bottom w:val="nil"/>
        <w:right w:val="nil"/>
        <w:between w:val="nil"/>
      </w:pBdr>
      <w:tabs>
        <w:tab w:val="right" w:pos="8364"/>
      </w:tabs>
      <w:spacing w:after="0"/>
      <w:rPr>
        <w:color w:val="000000"/>
        <w:sz w:val="14"/>
        <w:szCs w:val="14"/>
      </w:rPr>
    </w:pPr>
    <w:r>
      <w:rPr>
        <w:color w:val="000000"/>
        <w:sz w:val="14"/>
        <w:szCs w:val="14"/>
      </w:rPr>
      <w:t xml:space="preserve">Ref: </w:t>
    </w:r>
    <w:r w:rsidRPr="00C1235C">
      <w:rPr>
        <w:sz w:val="14"/>
        <w:szCs w:val="14"/>
      </w:rPr>
      <w:fldChar w:fldCharType="begin"/>
    </w:r>
    <w:r w:rsidRPr="00C1235C">
      <w:rPr>
        <w:sz w:val="14"/>
        <w:szCs w:val="14"/>
      </w:rPr>
      <w:instrText xml:space="preserve"> DOCPROPERTY  Objective-Id  \* MERGEFORMAT </w:instrText>
    </w:r>
    <w:r w:rsidRPr="00C1235C">
      <w:rPr>
        <w:sz w:val="14"/>
        <w:szCs w:val="14"/>
      </w:rPr>
      <w:fldChar w:fldCharType="separate"/>
    </w:r>
    <w:r w:rsidR="004A63CE">
      <w:rPr>
        <w:sz w:val="14"/>
        <w:szCs w:val="14"/>
      </w:rPr>
      <w:t>A886115</w:t>
    </w:r>
    <w:r w:rsidRPr="00C1235C">
      <w:rPr>
        <w:sz w:val="14"/>
        <w:szCs w:val="14"/>
      </w:rPr>
      <w:fldChar w:fldCharType="end"/>
    </w:r>
    <w:r>
      <w:rPr>
        <w:color w:val="000000"/>
        <w:sz w:val="14"/>
        <w:szCs w:val="14"/>
      </w:rPr>
      <w:t xml:space="preserve">  © SACE Board of South Australia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5C" w:rsidRDefault="00B524B2">
    <w:pPr>
      <w:pBdr>
        <w:top w:val="nil"/>
        <w:left w:val="nil"/>
        <w:bottom w:val="nil"/>
        <w:right w:val="nil"/>
        <w:between w:val="nil"/>
      </w:pBdr>
      <w:tabs>
        <w:tab w:val="right" w:pos="9639"/>
        <w:tab w:val="right" w:pos="14742"/>
      </w:tabs>
      <w:spacing w:after="0"/>
      <w:rPr>
        <w:color w:val="000000"/>
        <w:sz w:val="14"/>
        <w:szCs w:val="14"/>
      </w:rPr>
    </w:pPr>
    <w:r>
      <w:rPr>
        <w:color w:val="000000"/>
        <w:sz w:val="14"/>
        <w:szCs w:val="14"/>
      </w:rPr>
      <w:t>Stage 2 Legal Studies</w:t>
    </w:r>
    <w:r w:rsidR="00C1235C">
      <w:rPr>
        <w:color w:val="000000"/>
        <w:sz w:val="14"/>
        <w:szCs w:val="14"/>
      </w:rPr>
      <w:t xml:space="preserve"> – 2019 Subject Assessment Advice</w:t>
    </w:r>
    <w:r w:rsidR="00C1235C">
      <w:rPr>
        <w:color w:val="000000"/>
        <w:sz w:val="14"/>
        <w:szCs w:val="14"/>
      </w:rPr>
      <w:tab/>
      <w:t xml:space="preserve">Page </w:t>
    </w:r>
    <w:r w:rsidR="00C1235C" w:rsidRPr="006D7B33">
      <w:rPr>
        <w:color w:val="000000"/>
        <w:sz w:val="14"/>
        <w:szCs w:val="14"/>
      </w:rPr>
      <w:fldChar w:fldCharType="begin"/>
    </w:r>
    <w:r w:rsidR="00C1235C" w:rsidRPr="006D7B33">
      <w:rPr>
        <w:color w:val="000000"/>
        <w:sz w:val="14"/>
        <w:szCs w:val="14"/>
      </w:rPr>
      <w:instrText>PAGE</w:instrText>
    </w:r>
    <w:r w:rsidR="00C1235C" w:rsidRPr="006D7B33">
      <w:rPr>
        <w:color w:val="000000"/>
        <w:sz w:val="14"/>
        <w:szCs w:val="14"/>
      </w:rPr>
      <w:fldChar w:fldCharType="separate"/>
    </w:r>
    <w:r w:rsidR="00813113">
      <w:rPr>
        <w:noProof/>
        <w:color w:val="000000"/>
        <w:sz w:val="14"/>
        <w:szCs w:val="14"/>
      </w:rPr>
      <w:t>2</w:t>
    </w:r>
    <w:r w:rsidR="00C1235C" w:rsidRPr="006D7B33">
      <w:rPr>
        <w:color w:val="000000"/>
        <w:sz w:val="14"/>
        <w:szCs w:val="14"/>
      </w:rPr>
      <w:fldChar w:fldCharType="end"/>
    </w:r>
    <w:r w:rsidR="00C1235C" w:rsidRPr="006D7B33">
      <w:rPr>
        <w:color w:val="000000"/>
        <w:sz w:val="14"/>
        <w:szCs w:val="14"/>
      </w:rPr>
      <w:t xml:space="preserve"> of </w:t>
    </w:r>
    <w:r w:rsidR="00C1235C" w:rsidRPr="006D7B33">
      <w:rPr>
        <w:color w:val="000000"/>
        <w:sz w:val="14"/>
        <w:szCs w:val="14"/>
      </w:rPr>
      <w:fldChar w:fldCharType="begin"/>
    </w:r>
    <w:r w:rsidR="00C1235C" w:rsidRPr="006D7B33">
      <w:rPr>
        <w:color w:val="000000"/>
        <w:sz w:val="14"/>
        <w:szCs w:val="14"/>
      </w:rPr>
      <w:instrText>NUMPAGES</w:instrText>
    </w:r>
    <w:r w:rsidR="00C1235C" w:rsidRPr="006D7B33">
      <w:rPr>
        <w:color w:val="000000"/>
        <w:sz w:val="14"/>
        <w:szCs w:val="14"/>
      </w:rPr>
      <w:fldChar w:fldCharType="separate"/>
    </w:r>
    <w:r w:rsidR="00813113">
      <w:rPr>
        <w:noProof/>
        <w:color w:val="000000"/>
        <w:sz w:val="14"/>
        <w:szCs w:val="14"/>
      </w:rPr>
      <w:t>5</w:t>
    </w:r>
    <w:r w:rsidR="00C1235C" w:rsidRPr="006D7B33">
      <w:rPr>
        <w:color w:val="000000"/>
        <w:sz w:val="14"/>
        <w:szCs w:val="14"/>
      </w:rPr>
      <w:fldChar w:fldCharType="end"/>
    </w:r>
  </w:p>
  <w:p w:rsidR="00B524B2" w:rsidRDefault="00B524B2" w:rsidP="00B524B2">
    <w:pPr>
      <w:pBdr>
        <w:top w:val="nil"/>
        <w:left w:val="nil"/>
        <w:bottom w:val="nil"/>
        <w:right w:val="nil"/>
        <w:between w:val="nil"/>
      </w:pBdr>
      <w:tabs>
        <w:tab w:val="right" w:pos="8364"/>
      </w:tabs>
      <w:spacing w:after="0"/>
      <w:rPr>
        <w:color w:val="000000"/>
        <w:sz w:val="14"/>
        <w:szCs w:val="14"/>
      </w:rPr>
    </w:pPr>
    <w:r>
      <w:rPr>
        <w:color w:val="000000"/>
        <w:sz w:val="14"/>
        <w:szCs w:val="14"/>
      </w:rPr>
      <w:t xml:space="preserve">Ref: </w:t>
    </w:r>
    <w:r w:rsidRPr="00C1235C">
      <w:rPr>
        <w:sz w:val="14"/>
        <w:szCs w:val="14"/>
      </w:rPr>
      <w:fldChar w:fldCharType="begin"/>
    </w:r>
    <w:r w:rsidRPr="00C1235C">
      <w:rPr>
        <w:sz w:val="14"/>
        <w:szCs w:val="14"/>
      </w:rPr>
      <w:instrText xml:space="preserve"> DOCPROPERTY  Objective-Id  \* MERGEFORMAT </w:instrText>
    </w:r>
    <w:r w:rsidRPr="00C1235C">
      <w:rPr>
        <w:sz w:val="14"/>
        <w:szCs w:val="14"/>
      </w:rPr>
      <w:fldChar w:fldCharType="separate"/>
    </w:r>
    <w:r w:rsidR="00B31494">
      <w:rPr>
        <w:sz w:val="14"/>
        <w:szCs w:val="14"/>
      </w:rPr>
      <w:t>A886115</w:t>
    </w:r>
    <w:r w:rsidRPr="00C1235C">
      <w:rPr>
        <w:sz w:val="14"/>
        <w:szCs w:val="14"/>
      </w:rPr>
      <w:fldChar w:fldCharType="end"/>
    </w:r>
    <w:r>
      <w:rPr>
        <w:color w:val="000000"/>
        <w:sz w:val="14"/>
        <w:szCs w:val="14"/>
      </w:rPr>
      <w:t xml:space="preserve">  © SACE Board of South Australia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5C" w:rsidRDefault="00C1235C" w:rsidP="002F4958">
    <w:pPr>
      <w:pBdr>
        <w:top w:val="nil"/>
        <w:left w:val="nil"/>
        <w:bottom w:val="nil"/>
        <w:right w:val="nil"/>
        <w:between w:val="nil"/>
      </w:pBdr>
      <w:tabs>
        <w:tab w:val="right" w:pos="9498"/>
      </w:tabs>
      <w:spacing w:after="0"/>
      <w:rPr>
        <w:color w:val="000000"/>
        <w:sz w:val="14"/>
        <w:szCs w:val="14"/>
      </w:rPr>
    </w:pPr>
    <w:r>
      <w:rPr>
        <w:color w:val="000000"/>
        <w:sz w:val="14"/>
        <w:szCs w:val="14"/>
      </w:rPr>
      <w:t>Stage 2 Legal Studies – 2019 Subject Assessment Advice</w:t>
    </w:r>
    <w:r>
      <w:rPr>
        <w:color w:val="000000"/>
        <w:sz w:val="14"/>
        <w:szCs w:val="14"/>
      </w:rPr>
      <w:tab/>
      <w:t xml:space="preserve">Page </w:t>
    </w:r>
    <w:r w:rsidRPr="006D7B33">
      <w:rPr>
        <w:color w:val="000000"/>
        <w:sz w:val="14"/>
        <w:szCs w:val="14"/>
      </w:rPr>
      <w:fldChar w:fldCharType="begin"/>
    </w:r>
    <w:r w:rsidRPr="006D7B33">
      <w:rPr>
        <w:color w:val="000000"/>
        <w:sz w:val="14"/>
        <w:szCs w:val="14"/>
      </w:rPr>
      <w:instrText>PAGE</w:instrText>
    </w:r>
    <w:r w:rsidRPr="006D7B33">
      <w:rPr>
        <w:color w:val="000000"/>
        <w:sz w:val="14"/>
        <w:szCs w:val="14"/>
      </w:rPr>
      <w:fldChar w:fldCharType="separate"/>
    </w:r>
    <w:r w:rsidR="00813113">
      <w:rPr>
        <w:noProof/>
        <w:color w:val="000000"/>
        <w:sz w:val="14"/>
        <w:szCs w:val="14"/>
      </w:rPr>
      <w:t>1</w:t>
    </w:r>
    <w:r w:rsidRPr="006D7B33">
      <w:rPr>
        <w:color w:val="000000"/>
        <w:sz w:val="14"/>
        <w:szCs w:val="14"/>
      </w:rPr>
      <w:fldChar w:fldCharType="end"/>
    </w:r>
    <w:r w:rsidRPr="006D7B33">
      <w:rPr>
        <w:color w:val="000000"/>
        <w:sz w:val="14"/>
        <w:szCs w:val="14"/>
      </w:rPr>
      <w:t xml:space="preserve"> of </w:t>
    </w:r>
    <w:r w:rsidRPr="006D7B33">
      <w:rPr>
        <w:color w:val="000000"/>
        <w:sz w:val="14"/>
        <w:szCs w:val="14"/>
      </w:rPr>
      <w:fldChar w:fldCharType="begin"/>
    </w:r>
    <w:r w:rsidRPr="006D7B33">
      <w:rPr>
        <w:color w:val="000000"/>
        <w:sz w:val="14"/>
        <w:szCs w:val="14"/>
      </w:rPr>
      <w:instrText>NUMPAGES</w:instrText>
    </w:r>
    <w:r w:rsidRPr="006D7B33">
      <w:rPr>
        <w:color w:val="000000"/>
        <w:sz w:val="14"/>
        <w:szCs w:val="14"/>
      </w:rPr>
      <w:fldChar w:fldCharType="separate"/>
    </w:r>
    <w:r w:rsidR="00813113">
      <w:rPr>
        <w:noProof/>
        <w:color w:val="000000"/>
        <w:sz w:val="14"/>
        <w:szCs w:val="14"/>
      </w:rPr>
      <w:t>5</w:t>
    </w:r>
    <w:r w:rsidRPr="006D7B33">
      <w:rPr>
        <w:color w:val="000000"/>
        <w:sz w:val="14"/>
        <w:szCs w:val="14"/>
      </w:rPr>
      <w:fldChar w:fldCharType="end"/>
    </w:r>
  </w:p>
  <w:p w:rsidR="00B524B2" w:rsidRDefault="00B524B2" w:rsidP="00B524B2">
    <w:pPr>
      <w:pBdr>
        <w:top w:val="nil"/>
        <w:left w:val="nil"/>
        <w:bottom w:val="nil"/>
        <w:right w:val="nil"/>
        <w:between w:val="nil"/>
      </w:pBdr>
      <w:tabs>
        <w:tab w:val="right" w:pos="8364"/>
      </w:tabs>
      <w:spacing w:after="0"/>
      <w:rPr>
        <w:color w:val="000000"/>
        <w:sz w:val="14"/>
        <w:szCs w:val="14"/>
      </w:rPr>
    </w:pPr>
    <w:r>
      <w:rPr>
        <w:color w:val="000000"/>
        <w:sz w:val="14"/>
        <w:szCs w:val="14"/>
      </w:rPr>
      <w:t xml:space="preserve">Ref: </w:t>
    </w:r>
    <w:r w:rsidRPr="00C1235C">
      <w:rPr>
        <w:sz w:val="14"/>
        <w:szCs w:val="14"/>
      </w:rPr>
      <w:fldChar w:fldCharType="begin"/>
    </w:r>
    <w:r w:rsidRPr="00C1235C">
      <w:rPr>
        <w:sz w:val="14"/>
        <w:szCs w:val="14"/>
      </w:rPr>
      <w:instrText xml:space="preserve"> DOCPROPERTY  Objective-Id  \* MERGEFORMAT </w:instrText>
    </w:r>
    <w:r w:rsidRPr="00C1235C">
      <w:rPr>
        <w:sz w:val="14"/>
        <w:szCs w:val="14"/>
      </w:rPr>
      <w:fldChar w:fldCharType="separate"/>
    </w:r>
    <w:r w:rsidR="004A63CE">
      <w:rPr>
        <w:sz w:val="14"/>
        <w:szCs w:val="14"/>
      </w:rPr>
      <w:t>A886115</w:t>
    </w:r>
    <w:r w:rsidRPr="00C1235C">
      <w:rPr>
        <w:sz w:val="14"/>
        <w:szCs w:val="14"/>
      </w:rPr>
      <w:fldChar w:fldCharType="end"/>
    </w:r>
    <w:r>
      <w:rPr>
        <w:color w:val="000000"/>
        <w:sz w:val="14"/>
        <w:szCs w:val="14"/>
      </w:rPr>
      <w:t xml:space="preserve">  © SACE Board of South Australia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D2A" w:rsidRDefault="00A81D2A">
      <w:pPr>
        <w:spacing w:after="0"/>
      </w:pPr>
      <w:r>
        <w:separator/>
      </w:r>
    </w:p>
  </w:footnote>
  <w:footnote w:type="continuationSeparator" w:id="0">
    <w:p w:rsidR="00A81D2A" w:rsidRDefault="00A81D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967" w:rsidRDefault="00F102C3">
    <w:r>
      <w:rPr>
        <w:noProof/>
      </w:rPr>
      <w:drawing>
        <wp:anchor distT="0" distB="0" distL="114300" distR="114300" simplePos="0" relativeHeight="251658240" behindDoc="0" locked="0" layoutInCell="1" hidden="0" allowOverlap="1">
          <wp:simplePos x="0" y="0"/>
          <wp:positionH relativeFrom="column">
            <wp:posOffset>-897888</wp:posOffset>
          </wp:positionH>
          <wp:positionV relativeFrom="paragraph">
            <wp:posOffset>-401954</wp:posOffset>
          </wp:positionV>
          <wp:extent cx="7539990" cy="1581150"/>
          <wp:effectExtent l="0" t="0" r="0" b="0"/>
          <wp:wrapSquare wrapText="bothSides" distT="0" distB="0" distL="114300" distR="114300"/>
          <wp:docPr id="3" name="image2.jpg" descr="SACE Board of South Australia logo"/>
          <wp:cNvGraphicFramePr/>
          <a:graphic xmlns:a="http://schemas.openxmlformats.org/drawingml/2006/main">
            <a:graphicData uri="http://schemas.openxmlformats.org/drawingml/2006/picture">
              <pic:pic xmlns:pic="http://schemas.openxmlformats.org/drawingml/2006/picture">
                <pic:nvPicPr>
                  <pic:cNvPr id="0" name="image2.jpg" descr="SACE Board of South Australia logo"/>
                  <pic:cNvPicPr preferRelativeResize="0"/>
                </pic:nvPicPr>
                <pic:blipFill>
                  <a:blip r:embed="rId1"/>
                  <a:srcRect/>
                  <a:stretch>
                    <a:fillRect/>
                  </a:stretch>
                </pic:blipFill>
                <pic:spPr>
                  <a:xfrm>
                    <a:off x="0" y="0"/>
                    <a:ext cx="7539990" cy="15811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5C" w:rsidRDefault="00C12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5C" w:rsidRPr="00C1235C" w:rsidRDefault="00C1235C" w:rsidP="00C123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5457F"/>
    <w:multiLevelType w:val="multilevel"/>
    <w:tmpl w:val="C124F504"/>
    <w:lvl w:ilvl="0">
      <w:start w:val="1"/>
      <w:numFmt w:val="bullet"/>
      <w:lvlText w:val="•"/>
      <w:lvlJc w:val="left"/>
      <w:pPr>
        <w:ind w:left="1080" w:hanging="720"/>
      </w:pPr>
      <w:rPr>
        <w:rFonts w:ascii="Roboto Light" w:eastAsia="Roboto Light" w:hAnsi="Roboto Light" w:cs="Roboto Ligh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425BC6"/>
    <w:multiLevelType w:val="hybridMultilevel"/>
    <w:tmpl w:val="FB50B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251FBD"/>
    <w:multiLevelType w:val="hybridMultilevel"/>
    <w:tmpl w:val="AAD2B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E11085"/>
    <w:multiLevelType w:val="hybridMultilevel"/>
    <w:tmpl w:val="DD46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E6705"/>
    <w:multiLevelType w:val="hybridMultilevel"/>
    <w:tmpl w:val="C9E4C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230FB9"/>
    <w:multiLevelType w:val="hybridMultilevel"/>
    <w:tmpl w:val="C34C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B6042"/>
    <w:multiLevelType w:val="hybridMultilevel"/>
    <w:tmpl w:val="2C3A2512"/>
    <w:lvl w:ilvl="0" w:tplc="2B70DAE4">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536EBF"/>
    <w:multiLevelType w:val="hybridMultilevel"/>
    <w:tmpl w:val="B1F0E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D47139"/>
    <w:multiLevelType w:val="hybridMultilevel"/>
    <w:tmpl w:val="CC160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1E1390"/>
    <w:multiLevelType w:val="hybridMultilevel"/>
    <w:tmpl w:val="0AC8DFA2"/>
    <w:lvl w:ilvl="0" w:tplc="DF729EA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6"/>
  </w:num>
  <w:num w:numId="3">
    <w:abstractNumId w:val="2"/>
  </w:num>
  <w:num w:numId="4">
    <w:abstractNumId w:val="8"/>
  </w:num>
  <w:num w:numId="5">
    <w:abstractNumId w:val="1"/>
  </w:num>
  <w:num w:numId="6">
    <w:abstractNumId w:val="7"/>
  </w:num>
  <w:num w:numId="7">
    <w:abstractNumId w:val="4"/>
  </w:num>
  <w:num w:numId="8">
    <w:abstractNumId w:val="3"/>
  </w:num>
  <w:num w:numId="9">
    <w:abstractNumId w:val="5"/>
  </w:num>
  <w:num w:numId="10">
    <w:abstractNumId w:val="6"/>
  </w:num>
  <w:num w:numId="11">
    <w:abstractNumId w:val="6"/>
  </w:num>
  <w:num w:numId="12">
    <w:abstractNumId w:val="6"/>
  </w:num>
  <w:num w:numId="13">
    <w:abstractNumId w:val="6"/>
  </w:num>
  <w:num w:numId="14">
    <w:abstractNumId w:val="6"/>
  </w:num>
  <w:num w:numId="15">
    <w:abstractNumId w:val="9"/>
  </w:num>
  <w:num w:numId="16">
    <w:abstractNumId w:val="6"/>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967"/>
    <w:rsid w:val="00017BF6"/>
    <w:rsid w:val="00031D3B"/>
    <w:rsid w:val="00084110"/>
    <w:rsid w:val="000A5220"/>
    <w:rsid w:val="00211A75"/>
    <w:rsid w:val="00257A01"/>
    <w:rsid w:val="002B204D"/>
    <w:rsid w:val="002E4CCA"/>
    <w:rsid w:val="002F29D2"/>
    <w:rsid w:val="002F4958"/>
    <w:rsid w:val="0031294B"/>
    <w:rsid w:val="003277A5"/>
    <w:rsid w:val="00332DFF"/>
    <w:rsid w:val="003B1F17"/>
    <w:rsid w:val="00420967"/>
    <w:rsid w:val="00462B70"/>
    <w:rsid w:val="004A63CE"/>
    <w:rsid w:val="004D293A"/>
    <w:rsid w:val="00553019"/>
    <w:rsid w:val="005F14A0"/>
    <w:rsid w:val="006061A5"/>
    <w:rsid w:val="00665284"/>
    <w:rsid w:val="0069281F"/>
    <w:rsid w:val="006A4335"/>
    <w:rsid w:val="006D7B33"/>
    <w:rsid w:val="006F6741"/>
    <w:rsid w:val="00786E46"/>
    <w:rsid w:val="007A00DF"/>
    <w:rsid w:val="007D2409"/>
    <w:rsid w:val="00813113"/>
    <w:rsid w:val="00820AF9"/>
    <w:rsid w:val="008D5C84"/>
    <w:rsid w:val="008D7256"/>
    <w:rsid w:val="009771F7"/>
    <w:rsid w:val="00983907"/>
    <w:rsid w:val="00991BD3"/>
    <w:rsid w:val="00A01943"/>
    <w:rsid w:val="00A300BB"/>
    <w:rsid w:val="00A65E8D"/>
    <w:rsid w:val="00A81D2A"/>
    <w:rsid w:val="00B31494"/>
    <w:rsid w:val="00B524B2"/>
    <w:rsid w:val="00B615E9"/>
    <w:rsid w:val="00BF102E"/>
    <w:rsid w:val="00C1235C"/>
    <w:rsid w:val="00C3453C"/>
    <w:rsid w:val="00C416C0"/>
    <w:rsid w:val="00E01826"/>
    <w:rsid w:val="00E4517A"/>
    <w:rsid w:val="00EB3A29"/>
    <w:rsid w:val="00F06E5C"/>
    <w:rsid w:val="00F102C3"/>
    <w:rsid w:val="00FD0894"/>
    <w:rsid w:val="00FD1A06"/>
    <w:rsid w:val="00FE27C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A34D1"/>
  <w15:docId w15:val="{C53AB4A7-67E3-40A7-B544-56BA3E97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Light" w:eastAsia="Roboto Light" w:hAnsi="Roboto Light" w:cs="Roboto Light"/>
        <w:lang w:val="en-AU" w:eastAsia="en-AU"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120" w:after="0" w:line="480" w:lineRule="auto"/>
      <w:outlineLvl w:val="0"/>
    </w:pPr>
    <w:rPr>
      <w:sz w:val="32"/>
      <w:szCs w:val="32"/>
    </w:rPr>
  </w:style>
  <w:style w:type="paragraph" w:styleId="Heading2">
    <w:name w:val="heading 2"/>
    <w:basedOn w:val="Normal"/>
    <w:next w:val="Normal"/>
    <w:link w:val="Heading2Char"/>
    <w:uiPriority w:val="9"/>
    <w:qFormat/>
    <w:pPr>
      <w:keepNext/>
      <w:keepLines/>
      <w:spacing w:before="360"/>
      <w:outlineLvl w:val="1"/>
    </w:pPr>
    <w:rPr>
      <w:rFonts w:ascii="Roboto Medium" w:eastAsia="Roboto Medium" w:hAnsi="Roboto Medium" w:cs="Roboto Medium"/>
      <w:sz w:val="24"/>
      <w:szCs w:val="24"/>
    </w:rPr>
  </w:style>
  <w:style w:type="paragraph" w:styleId="Heading3">
    <w:name w:val="heading 3"/>
    <w:basedOn w:val="Normal"/>
    <w:next w:val="Normal"/>
    <w:pPr>
      <w:keepNext/>
      <w:keepLines/>
      <w:spacing w:before="240"/>
      <w:outlineLvl w:val="2"/>
    </w:pPr>
    <w:rPr>
      <w:rFonts w:ascii="Roboto Medium" w:eastAsia="Roboto Medium" w:hAnsi="Roboto Medium" w:cs="Roboto Medium"/>
      <w:color w:val="000000"/>
    </w:rPr>
  </w:style>
  <w:style w:type="paragraph" w:styleId="Heading4">
    <w:name w:val="heading 4"/>
    <w:basedOn w:val="Normal"/>
    <w:next w:val="Normal"/>
    <w:pPr>
      <w:keepNext/>
      <w:keepLines/>
      <w:spacing w:before="120"/>
      <w:outlineLvl w:val="3"/>
    </w:pPr>
    <w:rPr>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6741"/>
    <w:pPr>
      <w:tabs>
        <w:tab w:val="center" w:pos="4513"/>
        <w:tab w:val="right" w:pos="9026"/>
      </w:tabs>
      <w:spacing w:after="0"/>
    </w:pPr>
  </w:style>
  <w:style w:type="character" w:customStyle="1" w:styleId="HeaderChar">
    <w:name w:val="Header Char"/>
    <w:basedOn w:val="DefaultParagraphFont"/>
    <w:link w:val="Header"/>
    <w:uiPriority w:val="99"/>
    <w:rsid w:val="006F6741"/>
  </w:style>
  <w:style w:type="paragraph" w:styleId="Footer">
    <w:name w:val="footer"/>
    <w:basedOn w:val="Normal"/>
    <w:link w:val="FooterChar"/>
    <w:uiPriority w:val="99"/>
    <w:unhideWhenUsed/>
    <w:rsid w:val="006F6741"/>
    <w:pPr>
      <w:tabs>
        <w:tab w:val="center" w:pos="4513"/>
        <w:tab w:val="right" w:pos="9026"/>
      </w:tabs>
      <w:spacing w:after="0"/>
    </w:pPr>
  </w:style>
  <w:style w:type="character" w:customStyle="1" w:styleId="FooterChar">
    <w:name w:val="Footer Char"/>
    <w:basedOn w:val="DefaultParagraphFont"/>
    <w:link w:val="Footer"/>
    <w:uiPriority w:val="99"/>
    <w:rsid w:val="006F6741"/>
  </w:style>
  <w:style w:type="character" w:customStyle="1" w:styleId="Heading2Char">
    <w:name w:val="Heading 2 Char"/>
    <w:basedOn w:val="DefaultParagraphFont"/>
    <w:link w:val="Heading2"/>
    <w:uiPriority w:val="9"/>
    <w:rsid w:val="006F6741"/>
    <w:rPr>
      <w:rFonts w:ascii="Roboto Medium" w:eastAsia="Roboto Medium" w:hAnsi="Roboto Medium" w:cs="Roboto Medium"/>
      <w:sz w:val="24"/>
      <w:szCs w:val="24"/>
    </w:rPr>
  </w:style>
  <w:style w:type="paragraph" w:styleId="ListParagraph">
    <w:name w:val="List Paragraph"/>
    <w:basedOn w:val="Normal"/>
    <w:uiPriority w:val="34"/>
    <w:qFormat/>
    <w:rsid w:val="006F6741"/>
    <w:pPr>
      <w:ind w:left="720"/>
      <w:contextualSpacing/>
    </w:pPr>
  </w:style>
  <w:style w:type="paragraph" w:customStyle="1" w:styleId="SAAaBodytext">
    <w:name w:val="SAA (a) Body text"/>
    <w:next w:val="Normal"/>
    <w:qFormat/>
    <w:rsid w:val="00C1235C"/>
    <w:pPr>
      <w:numPr>
        <w:numId w:val="15"/>
      </w:numPr>
      <w:spacing w:before="120" w:after="0"/>
    </w:pPr>
    <w:rPr>
      <w:rFonts w:eastAsiaTheme="minorHAnsi" w:cstheme="minorBidi"/>
      <w:lang w:eastAsia="en-US"/>
    </w:rPr>
  </w:style>
  <w:style w:type="paragraph" w:customStyle="1" w:styleId="SAABodytext">
    <w:name w:val="SAA Body text"/>
    <w:next w:val="Normal"/>
    <w:qFormat/>
    <w:rsid w:val="00C1235C"/>
    <w:pPr>
      <w:spacing w:before="120" w:after="0"/>
    </w:pPr>
    <w:rPr>
      <w:rFonts w:eastAsiaTheme="minorHAnsi" w:cstheme="minorHAnsi"/>
      <w:bCs/>
      <w:szCs w:val="22"/>
      <w:lang w:eastAsia="en-US"/>
    </w:rPr>
  </w:style>
  <w:style w:type="paragraph" w:customStyle="1" w:styleId="SAABodytextitalics">
    <w:name w:val="SAA Body text (italics)"/>
    <w:next w:val="Normal"/>
    <w:qFormat/>
    <w:rsid w:val="00C1235C"/>
    <w:pPr>
      <w:spacing w:before="160" w:after="0"/>
    </w:pPr>
    <w:rPr>
      <w:rFonts w:eastAsiaTheme="minorHAnsi" w:cstheme="minorHAnsi"/>
      <w:bCs/>
      <w:i/>
      <w:szCs w:val="22"/>
      <w:lang w:eastAsia="en-US"/>
    </w:rPr>
  </w:style>
  <w:style w:type="character" w:customStyle="1" w:styleId="SAABold">
    <w:name w:val="SAA Bold"/>
    <w:basedOn w:val="DefaultParagraphFont"/>
    <w:uiPriority w:val="1"/>
    <w:qFormat/>
    <w:rsid w:val="00C416C0"/>
    <w:rPr>
      <w:rFonts w:ascii="Roboto Medium" w:hAnsi="Roboto Medium"/>
    </w:rPr>
  </w:style>
  <w:style w:type="character" w:customStyle="1" w:styleId="SAAbolditalics">
    <w:name w:val="SAA bold italics"/>
    <w:basedOn w:val="SAABold"/>
    <w:uiPriority w:val="1"/>
    <w:qFormat/>
    <w:rsid w:val="00C1235C"/>
    <w:rPr>
      <w:rFonts w:ascii="Roboto Medium" w:hAnsi="Roboto Medium"/>
      <w:b/>
      <w:i/>
    </w:rPr>
  </w:style>
  <w:style w:type="paragraph" w:customStyle="1" w:styleId="SAABullets">
    <w:name w:val="SAA Bullets"/>
    <w:next w:val="Normal"/>
    <w:link w:val="SAABulletsChar"/>
    <w:qFormat/>
    <w:rsid w:val="00C1235C"/>
    <w:pPr>
      <w:numPr>
        <w:numId w:val="16"/>
      </w:numPr>
      <w:spacing w:before="120" w:after="0"/>
      <w:ind w:left="340" w:hanging="340"/>
    </w:pPr>
    <w:rPr>
      <w:rFonts w:eastAsiaTheme="minorHAnsi" w:cstheme="minorHAnsi"/>
      <w:bCs/>
      <w:szCs w:val="22"/>
      <w:lang w:eastAsia="en-US"/>
    </w:rPr>
  </w:style>
  <w:style w:type="character" w:customStyle="1" w:styleId="SAABulletsChar">
    <w:name w:val="SAA Bullets Char"/>
    <w:basedOn w:val="DefaultParagraphFont"/>
    <w:link w:val="SAABullets"/>
    <w:rsid w:val="00C1235C"/>
    <w:rPr>
      <w:rFonts w:eastAsiaTheme="minorHAnsi" w:cstheme="minorHAnsi"/>
      <w:bCs/>
      <w:szCs w:val="22"/>
      <w:lang w:eastAsia="en-US"/>
    </w:rPr>
  </w:style>
  <w:style w:type="paragraph" w:customStyle="1" w:styleId="SAAHeading1">
    <w:name w:val="SAA Heading 1"/>
    <w:next w:val="Normal"/>
    <w:qFormat/>
    <w:rsid w:val="00C1235C"/>
    <w:pPr>
      <w:spacing w:before="360" w:after="0"/>
    </w:pPr>
    <w:rPr>
      <w:rFonts w:eastAsia="Times New Roman" w:cs="Times New Roman"/>
      <w:spacing w:val="-5"/>
      <w:sz w:val="32"/>
      <w:szCs w:val="56"/>
      <w:lang w:eastAsia="en-US"/>
    </w:rPr>
  </w:style>
  <w:style w:type="paragraph" w:customStyle="1" w:styleId="SAAHeading2">
    <w:name w:val="SAA Heading 2"/>
    <w:next w:val="Normal"/>
    <w:qFormat/>
    <w:rsid w:val="00C1235C"/>
    <w:pPr>
      <w:spacing w:before="360"/>
    </w:pPr>
    <w:rPr>
      <w:rFonts w:ascii="Roboto Medium" w:eastAsiaTheme="minorHAnsi" w:hAnsi="Roboto Medium" w:cstheme="minorHAnsi"/>
      <w:bCs/>
      <w:sz w:val="24"/>
      <w:szCs w:val="22"/>
      <w:lang w:eastAsia="en-US"/>
    </w:rPr>
  </w:style>
  <w:style w:type="paragraph" w:customStyle="1" w:styleId="SAAHeading2afterH1">
    <w:name w:val="SAA Heading 2 (after H1)"/>
    <w:next w:val="Normal"/>
    <w:qFormat/>
    <w:rsid w:val="00C1235C"/>
    <w:pPr>
      <w:spacing w:before="240"/>
    </w:pPr>
    <w:rPr>
      <w:rFonts w:ascii="Roboto Medium" w:eastAsiaTheme="majorEastAsia" w:hAnsi="Roboto Medium" w:cstheme="majorBidi"/>
      <w:sz w:val="24"/>
      <w:szCs w:val="26"/>
      <w:lang w:eastAsia="en-US"/>
    </w:rPr>
  </w:style>
  <w:style w:type="paragraph" w:customStyle="1" w:styleId="SAAHeading3">
    <w:name w:val="SAA Heading 3"/>
    <w:next w:val="Normal"/>
    <w:qFormat/>
    <w:rsid w:val="00C1235C"/>
    <w:pPr>
      <w:spacing w:before="240"/>
    </w:pPr>
    <w:rPr>
      <w:rFonts w:ascii="Roboto Medium" w:eastAsiaTheme="majorEastAsia" w:hAnsi="Roboto Medium" w:cstheme="majorBidi"/>
      <w:color w:val="000000" w:themeColor="text1"/>
      <w:sz w:val="22"/>
      <w:szCs w:val="22"/>
      <w:lang w:eastAsia="en-US"/>
    </w:rPr>
  </w:style>
  <w:style w:type="paragraph" w:customStyle="1" w:styleId="SAAHeading3afterH2">
    <w:name w:val="SAA Heading 3 (after H2)"/>
    <w:next w:val="Normal"/>
    <w:qFormat/>
    <w:rsid w:val="007A00DF"/>
    <w:rPr>
      <w:rFonts w:ascii="Roboto Medium" w:eastAsiaTheme="majorEastAsia" w:hAnsi="Roboto Medium" w:cstheme="majorBidi"/>
      <w:bCs/>
      <w:color w:val="000000" w:themeColor="text1"/>
      <w:sz w:val="22"/>
      <w:lang w:eastAsia="en-US"/>
    </w:rPr>
  </w:style>
  <w:style w:type="paragraph" w:customStyle="1" w:styleId="SAAHeading4">
    <w:name w:val="SAA Heading 4"/>
    <w:next w:val="Normal"/>
    <w:qFormat/>
    <w:rsid w:val="00C1235C"/>
    <w:pPr>
      <w:spacing w:before="240"/>
    </w:pPr>
    <w:rPr>
      <w:rFonts w:ascii="Roboto Medium" w:eastAsiaTheme="majorEastAsia" w:hAnsi="Roboto Medium" w:cstheme="majorBidi"/>
      <w:bCs/>
      <w:szCs w:val="22"/>
      <w:lang w:eastAsia="en-US"/>
    </w:rPr>
  </w:style>
  <w:style w:type="paragraph" w:customStyle="1" w:styleId="SAAHeading5">
    <w:name w:val="SAA Heading 5"/>
    <w:next w:val="Normal"/>
    <w:qFormat/>
    <w:rsid w:val="00C1235C"/>
    <w:pPr>
      <w:spacing w:before="240"/>
    </w:pPr>
    <w:rPr>
      <w:rFonts w:eastAsiaTheme="majorEastAsia" w:cstheme="majorBidi"/>
      <w:bCs/>
      <w:szCs w:val="22"/>
      <w:lang w:eastAsia="en-US"/>
    </w:rPr>
  </w:style>
  <w:style w:type="paragraph" w:customStyle="1" w:styleId="SAAHeading6">
    <w:name w:val="SAA Heading 6"/>
    <w:next w:val="Normal"/>
    <w:qFormat/>
    <w:rsid w:val="00C1235C"/>
    <w:pPr>
      <w:spacing w:before="360" w:after="0"/>
    </w:pPr>
    <w:rPr>
      <w:rFonts w:eastAsiaTheme="majorEastAsia" w:cstheme="majorBidi"/>
      <w:bCs/>
      <w:i/>
      <w:szCs w:val="22"/>
      <w:lang w:eastAsia="en-US"/>
    </w:rPr>
  </w:style>
  <w:style w:type="character" w:customStyle="1" w:styleId="SAAItalics">
    <w:name w:val="SAA Italics"/>
    <w:basedOn w:val="DefaultParagraphFont"/>
    <w:uiPriority w:val="1"/>
    <w:qFormat/>
    <w:rsid w:val="00C1235C"/>
    <w:rPr>
      <w:i/>
    </w:rPr>
  </w:style>
  <w:style w:type="paragraph" w:customStyle="1" w:styleId="SAAQuestion12etc">
    <w:name w:val="SAA Question 1 2 etc"/>
    <w:next w:val="Normal"/>
    <w:qFormat/>
    <w:rsid w:val="00FD0894"/>
    <w:pPr>
      <w:spacing w:before="200"/>
    </w:pPr>
    <w:rPr>
      <w:rFonts w:ascii="Roboto Medium" w:eastAsiaTheme="majorEastAsia" w:hAnsi="Roboto Medium" w:cstheme="majorBidi"/>
      <w:bCs/>
      <w:color w:val="000000" w:themeColor="text1"/>
      <w:lang w:eastAsia="en-US"/>
    </w:rPr>
  </w:style>
  <w:style w:type="paragraph" w:customStyle="1" w:styleId="SAASubjectHeading">
    <w:name w:val="SAA Subject Heading"/>
    <w:basedOn w:val="Heading1"/>
    <w:qFormat/>
    <w:rsid w:val="00C1235C"/>
    <w:pPr>
      <w:spacing w:before="0" w:line="240" w:lineRule="auto"/>
    </w:pPr>
    <w:rPr>
      <w:rFonts w:eastAsia="Times New Roman" w:cs="Times New Roman"/>
      <w:spacing w:val="-5"/>
      <w:szCs w:val="56"/>
      <w:lang w:eastAsia="en-US"/>
    </w:rPr>
  </w:style>
  <w:style w:type="paragraph" w:styleId="BalloonText">
    <w:name w:val="Balloon Text"/>
    <w:basedOn w:val="Normal"/>
    <w:link w:val="BalloonTextChar"/>
    <w:uiPriority w:val="99"/>
    <w:semiHidden/>
    <w:unhideWhenUsed/>
    <w:rsid w:val="00FD089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4.xml" Id="rId14" /><Relationship Type="http://schemas.openxmlformats.org/officeDocument/2006/relationships/customXml" Target="/customXML/item2.xml" Id="R9c90444a5bfb487d"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A886115</value>
    </field>
    <field name="Objective-Title">
      <value order="0">2019 Legal Studies Subject Assessment Advice</value>
    </field>
    <field name="Objective-Description">
      <value order="0"/>
    </field>
    <field name="Objective-CreationStamp">
      <value order="0">2019-12-16T21:57:14Z</value>
    </field>
    <field name="Objective-IsApproved">
      <value order="0">false</value>
    </field>
    <field name="Objective-IsPublished">
      <value order="0">true</value>
    </field>
    <field name="Objective-DatePublished">
      <value order="0">2020-01-01T23:32:45Z</value>
    </field>
    <field name="Objective-ModificationStamp">
      <value order="0">2020-01-01T23:32:45Z</value>
    </field>
    <field name="Objective-Owner">
      <value order="0">Ruth Ekwomadu</value>
    </field>
    <field name="Objective-Path">
      <value order="0">Objective Global Folder:Quality Assurance Cycle:Stage 2 - 4. Improving:Subject Assessment Advice:2019 Subject Assessment Advice:2019 Subject assessment advice - FINAL - edit and publish</value>
    </field>
    <field name="Objective-Parent">
      <value order="0">2019 Subject assessment advice - FINAL - edit and publish</value>
    </field>
    <field name="Objective-State">
      <value order="0">Published</value>
    </field>
    <field name="Objective-VersionId">
      <value order="0">vA1526060</value>
    </field>
    <field name="Objective-Version">
      <value order="0">5.0</value>
    </field>
    <field name="Objective-VersionNumber">
      <value order="0">6</value>
    </field>
    <field name="Objective-VersionComment">
      <value order="0"/>
    </field>
    <field name="Objective-FileNumber">
      <value order="0">qA17843</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5</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Pillans</dc:creator>
  <cp:lastModifiedBy>Collins, Karen (SACE)</cp:lastModifiedBy>
  <cp:revision>38</cp:revision>
  <dcterms:created xsi:type="dcterms:W3CDTF">2019-12-10T22:40:00Z</dcterms:created>
  <dcterms:modified xsi:type="dcterms:W3CDTF">2020-01-01T23:32:00Z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A886115</vt:lpwstr>
  </property>
  <property fmtid="{D5CDD505-2E9C-101B-9397-08002B2CF9AE}" pid="4" name="Objective-Title">
    <vt:lpwstr>2019 Legal Studies Subject Assessment Advice</vt:lpwstr>
  </property>
  <property fmtid="{D5CDD505-2E9C-101B-9397-08002B2CF9AE}" pid="5" name="Objective-Description">
    <vt:lpwstr/>
  </property>
  <property fmtid="{D5CDD505-2E9C-101B-9397-08002B2CF9AE}" pid="6" name="Objective-CreationStamp">
    <vt:filetime>2019-12-16T21:57:14Z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2020-01-01T23:32:45Z</vt:filetime>
  </property>
  <property fmtid="{D5CDD505-2E9C-101B-9397-08002B2CF9AE}" pid="10" name="Objective-ModificationStamp">
    <vt:filetime>2020-01-01T23:32:45Z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Advice:2019 Subject Assessment Advice:2019 Subject assessment advice - FINAL - edit and publish</vt:lpwstr>
  </property>
  <property fmtid="{D5CDD505-2E9C-101B-9397-08002B2CF9AE}" pid="13" name="Objective-Parent">
    <vt:lpwstr>2019 Subject assessment advice - FINAL - edit and publish</vt:lpwstr>
  </property>
  <property fmtid="{D5CDD505-2E9C-101B-9397-08002B2CF9AE}" pid="14" name="Objective-State">
    <vt:lpwstr>Published</vt:lpwstr>
  </property>
  <property fmtid="{D5CDD505-2E9C-101B-9397-08002B2CF9AE}" pid="15" name="Objective-VersionId">
    <vt:lpwstr>vA1526060</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qA17843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