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312B97" w:rsidP="001A0F23">
      <w:pPr>
        <w:pStyle w:val="BodyText1"/>
      </w:pPr>
      <w:r>
        <w:rPr>
          <w:noProof/>
          <w:lang w:eastAsia="en-AU"/>
        </w:rPr>
        <w:drawing>
          <wp:inline distT="0" distB="0" distL="0" distR="0">
            <wp:extent cx="2085975" cy="741289"/>
            <wp:effectExtent l="0" t="0" r="0" b="0"/>
            <wp:docPr id="1" name="Picture 2" descr="SACE Logo CoBrand Black grayscale"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ACE Logo CoBrand Black grayscale" title="SACE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5975" cy="741045"/>
                    </a:xfrm>
                    <a:prstGeom prst="rect">
                      <a:avLst/>
                    </a:prstGeom>
                  </pic:spPr>
                </pic:pic>
              </a:graphicData>
            </a:graphic>
          </wp:inline>
        </w:drawing>
      </w:r>
    </w:p>
    <w:p w:rsidR="00204291" w:rsidRPr="0054520B" w:rsidRDefault="00204291" w:rsidP="0054520B"/>
    <w:p w:rsidR="001A0F23" w:rsidRPr="00C01636" w:rsidRDefault="007074DA">
      <w:pPr>
        <w:pStyle w:val="FrontPageHeading"/>
      </w:pPr>
      <w:r>
        <w:t>Agricultural and Horticultural Science</w:t>
      </w:r>
    </w:p>
    <w:p w:rsidR="001A0F23" w:rsidRPr="00225FC5" w:rsidRDefault="001A0F23" w:rsidP="001A0F23">
      <w:pPr>
        <w:pStyle w:val="FrontPageSub-heading"/>
      </w:pPr>
      <w:r>
        <w:t>201</w:t>
      </w:r>
      <w:r w:rsidR="00E261D1">
        <w:t>5</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9"/>
          <w:footerReference w:type="default" r:id="rId10"/>
          <w:headerReference w:type="first" r:id="rId11"/>
          <w:pgSz w:w="11907" w:h="16840" w:code="9"/>
          <w:pgMar w:top="1440" w:right="1797" w:bottom="1440" w:left="1797" w:header="720" w:footer="720" w:gutter="0"/>
          <w:paperSrc w:first="1" w:other="1"/>
          <w:pgNumType w:start="1"/>
          <w:cols w:space="720"/>
          <w:titlePg/>
        </w:sectPr>
      </w:pPr>
    </w:p>
    <w:p w:rsidR="001A0F23" w:rsidRPr="00A81CA3" w:rsidRDefault="00B432D9" w:rsidP="00B432D9">
      <w:pPr>
        <w:pStyle w:val="Heading1"/>
      </w:pPr>
      <w:r>
        <w:rPr>
          <w:lang w:val="en-US"/>
        </w:rPr>
        <w:lastRenderedPageBreak/>
        <w:t>Agricultural and Horticultural Science</w:t>
      </w:r>
    </w:p>
    <w:p w:rsidR="00B1461F" w:rsidRPr="00A81CA3" w:rsidRDefault="00B1461F" w:rsidP="00A81CA3">
      <w:pPr>
        <w:pStyle w:val="Heading1"/>
      </w:pPr>
    </w:p>
    <w:p w:rsidR="001A0F23" w:rsidRPr="00A81CA3" w:rsidRDefault="001A0F23" w:rsidP="00A81CA3">
      <w:pPr>
        <w:pStyle w:val="Heading1"/>
      </w:pPr>
      <w:r w:rsidRPr="00A81CA3">
        <w:t>201</w:t>
      </w:r>
      <w:r w:rsidR="00814A7B">
        <w:t>5</w:t>
      </w:r>
      <w:r w:rsidRPr="00A81CA3">
        <w:t xml:space="preserve"> </w:t>
      </w:r>
      <w:r w:rsidR="00B1461F" w:rsidRPr="00A81CA3">
        <w:t>Chief Assessor’s Report</w:t>
      </w:r>
    </w:p>
    <w:p w:rsidR="00B432D9" w:rsidRPr="00674B66" w:rsidRDefault="00B432D9" w:rsidP="00674B66">
      <w:pPr>
        <w:pStyle w:val="Heading2"/>
      </w:pPr>
      <w:r w:rsidRPr="00674B66">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7074DA" w:rsidRPr="00902510" w:rsidRDefault="007074DA" w:rsidP="00674B66">
      <w:pPr>
        <w:pStyle w:val="Heading2"/>
      </w:pPr>
      <w:r w:rsidRPr="00902510">
        <w:t>General Comments</w:t>
      </w:r>
    </w:p>
    <w:p w:rsidR="007074DA" w:rsidRPr="00B432D9" w:rsidRDefault="007074DA" w:rsidP="00674B66">
      <w:pPr>
        <w:pStyle w:val="BodyText1"/>
      </w:pPr>
      <w:r w:rsidRPr="00B432D9">
        <w:t>A total of 34 students completed Agricultural and Horticultural Science</w:t>
      </w:r>
      <w:r w:rsidR="00D24BBE">
        <w:t xml:space="preserve"> this year</w:t>
      </w:r>
      <w:r w:rsidRPr="00B432D9">
        <w:t>, with most work displayed being of a pleasing standard. It remains pleasing to note that teachers have heeded past moderator comments and their standard of work samples is now much more appropriately assessed.</w:t>
      </w:r>
    </w:p>
    <w:p w:rsidR="001A0F23" w:rsidRPr="00B432D9" w:rsidRDefault="00532959" w:rsidP="00674B66">
      <w:pPr>
        <w:pStyle w:val="Heading2"/>
      </w:pPr>
      <w:r w:rsidRPr="00B432D9">
        <w:t>School Assessment</w:t>
      </w:r>
    </w:p>
    <w:p w:rsidR="00B432D9" w:rsidRPr="00B432D9" w:rsidRDefault="00B432D9" w:rsidP="00674B66">
      <w:pPr>
        <w:pStyle w:val="BodyText1"/>
      </w:pPr>
      <w:r w:rsidRPr="00B432D9">
        <w:t xml:space="preserve">School assessment tasks are set and marked by teachers. Teachers’ assessment decisions are reviewed by moderators. Teacher grades/marks should be evident on all student school </w:t>
      </w:r>
      <w:r w:rsidRPr="00674B66">
        <w:t>assessment</w:t>
      </w:r>
      <w:r w:rsidRPr="00B432D9">
        <w:t xml:space="preserve"> work.</w:t>
      </w:r>
    </w:p>
    <w:p w:rsidR="001A0F23" w:rsidRPr="00CD32DE" w:rsidRDefault="001A0F23" w:rsidP="001A0F23">
      <w:pPr>
        <w:pStyle w:val="AssessmentTypeHeading"/>
      </w:pPr>
      <w:r w:rsidRPr="00CD32DE">
        <w:t>Assessment Type 1: In</w:t>
      </w:r>
      <w:r w:rsidR="007074DA">
        <w:t>vestigation</w:t>
      </w:r>
    </w:p>
    <w:p w:rsidR="00F314F3" w:rsidRPr="00674B66" w:rsidRDefault="00A03F65" w:rsidP="00674B66">
      <w:pPr>
        <w:pStyle w:val="BodyText1"/>
      </w:pPr>
      <w:r w:rsidRPr="00674B66">
        <w:t xml:space="preserve">Investigations tended </w:t>
      </w:r>
      <w:r w:rsidR="00D24BBE">
        <w:t xml:space="preserve">to </w:t>
      </w:r>
      <w:r w:rsidRPr="00674B66">
        <w:t>be diverse in nature</w:t>
      </w:r>
      <w:r w:rsidR="00F314F3" w:rsidRPr="00674B66">
        <w:t>, with a mix between plant an</w:t>
      </w:r>
      <w:r w:rsidR="00D24BBE">
        <w:t>d</w:t>
      </w:r>
      <w:r w:rsidR="00F314F3" w:rsidRPr="00674B66">
        <w:t xml:space="preserve"> animal investigations. Some investigations were deemed exceptional this year in their ingenuity.</w:t>
      </w:r>
    </w:p>
    <w:p w:rsidR="00F314F3" w:rsidRPr="00674B66" w:rsidRDefault="00F314F3" w:rsidP="00674B66">
      <w:pPr>
        <w:pStyle w:val="BodyText1"/>
      </w:pPr>
      <w:r w:rsidRPr="00674B66">
        <w:t xml:space="preserve">A reminder that all investigations using animals or birds need to be carried out in an ethical manner, ideally approved by the relevant Animal Ethics Committee before proceeding. One or two of this year’s investigations </w:t>
      </w:r>
      <w:r w:rsidR="007D71A0">
        <w:t>were close to</w:t>
      </w:r>
      <w:r w:rsidRPr="00674B66">
        <w:t xml:space="preserve"> the </w:t>
      </w:r>
      <w:r w:rsidR="007D71A0" w:rsidRPr="00674B66">
        <w:t>boundar</w:t>
      </w:r>
      <w:r w:rsidR="007D71A0">
        <w:t>y</w:t>
      </w:r>
      <w:r w:rsidR="007D71A0" w:rsidRPr="00674B66">
        <w:t xml:space="preserve"> </w:t>
      </w:r>
      <w:r w:rsidRPr="00674B66">
        <w:t xml:space="preserve">of </w:t>
      </w:r>
      <w:r w:rsidR="00821B37">
        <w:t>good animal husbandry practice.</w:t>
      </w:r>
    </w:p>
    <w:p w:rsidR="00F314F3" w:rsidRDefault="00F314F3" w:rsidP="00674B66">
      <w:pPr>
        <w:pStyle w:val="BodyText1"/>
      </w:pPr>
      <w:r w:rsidRPr="00674B66">
        <w:t>It was noted by</w:t>
      </w:r>
      <w:r>
        <w:t xml:space="preserve"> the moderators that there </w:t>
      </w:r>
      <w:r w:rsidR="007D71A0">
        <w:t xml:space="preserve">were often </w:t>
      </w:r>
      <w:r>
        <w:t xml:space="preserve">lots of statistics provided by students, but the analysis of these statistics was lacking. </w:t>
      </w:r>
      <w:r w:rsidR="007D71A0">
        <w:t xml:space="preserve">Data added simply because it was collected is not useful, especially </w:t>
      </w:r>
      <w:r>
        <w:t xml:space="preserve">when no reference is made back to </w:t>
      </w:r>
      <w:r w:rsidR="00D24BBE">
        <w:t xml:space="preserve">how it connects to </w:t>
      </w:r>
      <w:r>
        <w:t>the original hypothesis of the investigation.</w:t>
      </w:r>
    </w:p>
    <w:p w:rsidR="001A0F23" w:rsidRPr="00674B66" w:rsidRDefault="001A0F23" w:rsidP="00F314F3">
      <w:pPr>
        <w:pStyle w:val="BodyText1"/>
        <w:rPr>
          <w:rFonts w:ascii="Arial Narrow" w:hAnsi="Arial Narrow"/>
          <w:sz w:val="28"/>
          <w:szCs w:val="28"/>
        </w:rPr>
      </w:pPr>
      <w:r w:rsidRPr="00674B66">
        <w:rPr>
          <w:rFonts w:ascii="Arial Narrow" w:hAnsi="Arial Narrow"/>
          <w:b/>
          <w:sz w:val="28"/>
          <w:szCs w:val="28"/>
        </w:rPr>
        <w:t>Assessment Type 2:</w:t>
      </w:r>
      <w:r w:rsidRPr="00674B66">
        <w:rPr>
          <w:rFonts w:ascii="Arial Narrow" w:hAnsi="Arial Narrow"/>
          <w:b/>
        </w:rPr>
        <w:t xml:space="preserve"> </w:t>
      </w:r>
      <w:r w:rsidR="007074DA" w:rsidRPr="00674B66">
        <w:rPr>
          <w:rFonts w:ascii="Arial Narrow" w:hAnsi="Arial Narrow"/>
          <w:b/>
          <w:bCs/>
          <w:sz w:val="28"/>
          <w:szCs w:val="28"/>
        </w:rPr>
        <w:t>Skills and Applications Tasks</w:t>
      </w:r>
    </w:p>
    <w:p w:rsidR="009923FF" w:rsidRPr="006C0FEC" w:rsidRDefault="00A2287A" w:rsidP="00674B66">
      <w:pPr>
        <w:pStyle w:val="BodyText1"/>
      </w:pPr>
      <w:r>
        <w:t>The design of many tests continued to be weak</w:t>
      </w:r>
      <w:r w:rsidR="00AE6C64">
        <w:t>est</w:t>
      </w:r>
      <w:r>
        <w:t xml:space="preserve"> </w:t>
      </w:r>
      <w:r w:rsidR="009923FF" w:rsidRPr="006C0FEC">
        <w:t>in the analysis and evaluation assessment design criteria. When designing tests or selecting questions from past exams, teachers should aim to include a number of higher-order questions so that students have the opportunity to demonstrate their learning at the higher grade levels.</w:t>
      </w:r>
    </w:p>
    <w:p w:rsidR="009923FF" w:rsidRPr="006C0FEC" w:rsidRDefault="009923FF" w:rsidP="00674B66">
      <w:pPr>
        <w:pStyle w:val="BodyText1"/>
      </w:pPr>
      <w:r w:rsidRPr="006C0FEC">
        <w:lastRenderedPageBreak/>
        <w:t xml:space="preserve">Where deemed suitable, teachers are encouraged to include assessment tasks other than tests or </w:t>
      </w:r>
      <w:r>
        <w:t>practicals. Where possible, practicals should not be merely “reruns” of those that have been used in another subject.</w:t>
      </w:r>
      <w:r w:rsidR="00AE6C64">
        <w:t xml:space="preserve"> They also need to clearly assess the specific features and content of this course.</w:t>
      </w:r>
    </w:p>
    <w:p w:rsidR="009923FF" w:rsidRPr="006C0FEC" w:rsidRDefault="00AE6C64" w:rsidP="00674B66">
      <w:pPr>
        <w:pStyle w:val="BodyText1"/>
      </w:pPr>
      <w:r>
        <w:t>T</w:t>
      </w:r>
      <w:r w:rsidR="009923FF" w:rsidRPr="006C0FEC">
        <w:t xml:space="preserve">eachers </w:t>
      </w:r>
      <w:r>
        <w:t xml:space="preserve">are again encouraged </w:t>
      </w:r>
      <w:r w:rsidR="009923FF" w:rsidRPr="006C0FEC">
        <w:t xml:space="preserve">to use a </w:t>
      </w:r>
      <w:r>
        <w:t>p</w:t>
      </w:r>
      <w:r w:rsidR="009923FF" w:rsidRPr="006C0FEC">
        <w:t xml:space="preserve">erformance </w:t>
      </w:r>
      <w:r>
        <w:t>standards</w:t>
      </w:r>
      <w:r w:rsidRPr="006C0FEC">
        <w:t xml:space="preserve"> </w:t>
      </w:r>
      <w:r>
        <w:t>table in the task sheet</w:t>
      </w:r>
      <w:r w:rsidR="009923FF" w:rsidRPr="006C0FEC">
        <w:t xml:space="preserve"> to </w:t>
      </w:r>
      <w:r>
        <w:t>indicate</w:t>
      </w:r>
      <w:r w:rsidR="009923FF" w:rsidRPr="006C0FEC">
        <w:t xml:space="preserve"> </w:t>
      </w:r>
      <w:r>
        <w:t>the grades</w:t>
      </w:r>
      <w:r w:rsidR="004F691F">
        <w:t xml:space="preserve"> achieved </w:t>
      </w:r>
      <w:r>
        <w:t>for</w:t>
      </w:r>
      <w:r w:rsidR="004F691F">
        <w:t xml:space="preserve"> the</w:t>
      </w:r>
      <w:r w:rsidR="009923FF" w:rsidRPr="006C0FEC">
        <w:t xml:space="preserve"> specific features </w:t>
      </w:r>
      <w:r w:rsidR="004F691F" w:rsidRPr="006C0FEC">
        <w:t>assess</w:t>
      </w:r>
      <w:r w:rsidR="004F691F">
        <w:t>ed in the</w:t>
      </w:r>
      <w:r w:rsidR="004F691F" w:rsidRPr="006C0FEC">
        <w:t xml:space="preserve"> </w:t>
      </w:r>
      <w:r w:rsidR="009923FF" w:rsidRPr="006C0FEC">
        <w:t>task.</w:t>
      </w:r>
      <w:r w:rsidR="004F691F">
        <w:t xml:space="preserve"> </w:t>
      </w:r>
      <w:r>
        <w:t>W</w:t>
      </w:r>
      <w:r w:rsidR="009923FF">
        <w:t xml:space="preserve">here a student does not </w:t>
      </w:r>
      <w:r>
        <w:t>provide any evidence against a specific feature</w:t>
      </w:r>
      <w:r w:rsidR="009923FF">
        <w:t xml:space="preserve">, this is recorded as an ‘I’ rather than an ‘E’, even though </w:t>
      </w:r>
      <w:r>
        <w:t xml:space="preserve">this </w:t>
      </w:r>
      <w:r w:rsidR="009923FF">
        <w:t>does not appear on the rubric, which then feeds in to the overall grade awarded</w:t>
      </w:r>
      <w:r>
        <w:t xml:space="preserve"> for the task</w:t>
      </w:r>
      <w:r w:rsidR="009923FF">
        <w:t>.</w:t>
      </w:r>
    </w:p>
    <w:p w:rsidR="001A0F23" w:rsidRPr="00B432D9" w:rsidRDefault="00532959" w:rsidP="00674B66">
      <w:pPr>
        <w:pStyle w:val="Heading2"/>
      </w:pPr>
      <w:r w:rsidRPr="00B432D9">
        <w:t>External Assessment</w:t>
      </w:r>
    </w:p>
    <w:p w:rsidR="007074DA" w:rsidRPr="00674B66" w:rsidRDefault="001A0F23" w:rsidP="001A0F23">
      <w:pPr>
        <w:pStyle w:val="AssessmentTypeHeading"/>
        <w:rPr>
          <w:b w:val="0"/>
          <w:bCs w:val="0"/>
        </w:rPr>
      </w:pPr>
      <w:r w:rsidRPr="00674B66">
        <w:t xml:space="preserve">Assessment Type </w:t>
      </w:r>
      <w:r w:rsidR="007074DA" w:rsidRPr="00674B66">
        <w:t>3</w:t>
      </w:r>
      <w:r w:rsidRPr="00674B66">
        <w:t xml:space="preserve">: </w:t>
      </w:r>
      <w:r w:rsidR="007074DA" w:rsidRPr="00674B66">
        <w:rPr>
          <w:bCs w:val="0"/>
        </w:rPr>
        <w:t>Examination</w:t>
      </w:r>
    </w:p>
    <w:p w:rsidR="00740AE4" w:rsidRDefault="003251B7" w:rsidP="00674B66">
      <w:pPr>
        <w:pStyle w:val="BodyText1"/>
        <w:rPr>
          <w:b/>
        </w:rPr>
      </w:pPr>
      <w:r w:rsidRPr="00B432D9">
        <w:t>Thirty four</w:t>
      </w:r>
      <w:r w:rsidR="007074DA" w:rsidRPr="00B432D9">
        <w:t xml:space="preserve"> papers were marked this year, a</w:t>
      </w:r>
      <w:r w:rsidRPr="00B432D9">
        <w:t>n increase of 5</w:t>
      </w:r>
      <w:r w:rsidR="007074DA" w:rsidRPr="00B432D9">
        <w:t xml:space="preserve"> students from last year. </w:t>
      </w:r>
      <w:r w:rsidRPr="00B432D9">
        <w:t xml:space="preserve">This year’s cohort achieved better exam results, with </w:t>
      </w:r>
      <w:r w:rsidR="007074DA" w:rsidRPr="00B432D9">
        <w:t xml:space="preserve">marks outs </w:t>
      </w:r>
      <w:r w:rsidRPr="00B432D9">
        <w:t>of a possible 120 ranging from 54</w:t>
      </w:r>
      <w:r w:rsidR="007074DA" w:rsidRPr="00B432D9">
        <w:t xml:space="preserve"> to </w:t>
      </w:r>
      <w:r w:rsidRPr="00B432D9">
        <w:t>112</w:t>
      </w:r>
      <w:r w:rsidR="007074DA" w:rsidRPr="00B432D9">
        <w:t>. The mean score for the exam</w:t>
      </w:r>
      <w:r w:rsidRPr="00B432D9">
        <w:t xml:space="preserve"> rose this year to a </w:t>
      </w:r>
      <w:r w:rsidR="00125487">
        <w:t xml:space="preserve">very </w:t>
      </w:r>
      <w:r w:rsidRPr="00B432D9">
        <w:t xml:space="preserve">pleasing </w:t>
      </w:r>
      <w:r w:rsidR="00125487">
        <w:t>70</w:t>
      </w:r>
      <w:r w:rsidR="007074DA" w:rsidRPr="00B432D9">
        <w:t>%</w:t>
      </w:r>
      <w:r w:rsidRPr="00B432D9">
        <w:t>, which is the highest in almost a decade.</w:t>
      </w:r>
    </w:p>
    <w:p w:rsidR="007074DA" w:rsidRPr="00B432D9" w:rsidRDefault="007074DA" w:rsidP="00674B66">
      <w:pPr>
        <w:pStyle w:val="BodyText1"/>
      </w:pPr>
      <w:r w:rsidRPr="00B432D9">
        <w:t>As in previous years, students are reminded to read the question carefully before answering.</w:t>
      </w:r>
    </w:p>
    <w:p w:rsidR="007074DA" w:rsidRPr="00821B37" w:rsidRDefault="007074DA" w:rsidP="00821B37">
      <w:pPr>
        <w:pStyle w:val="Topicheading2"/>
      </w:pPr>
      <w:r w:rsidRPr="00821B37">
        <w:t>Part 1: Short-answer Questions</w:t>
      </w:r>
    </w:p>
    <w:p w:rsidR="007074DA" w:rsidRPr="007F1012" w:rsidRDefault="007074DA" w:rsidP="00674B66">
      <w:pPr>
        <w:pStyle w:val="BodyText1"/>
      </w:pPr>
      <w:r w:rsidRPr="007F1012">
        <w:t>The mean marks obtained for each question are presented in the table below. The mean mark % is in part a reflection of how difficult students found individual questions.</w:t>
      </w:r>
    </w:p>
    <w:tbl>
      <w:tblPr>
        <w:tblW w:w="8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510"/>
        <w:gridCol w:w="510"/>
        <w:gridCol w:w="510"/>
        <w:gridCol w:w="510"/>
        <w:gridCol w:w="510"/>
        <w:gridCol w:w="510"/>
        <w:gridCol w:w="510"/>
        <w:gridCol w:w="510"/>
        <w:gridCol w:w="510"/>
        <w:gridCol w:w="510"/>
        <w:gridCol w:w="510"/>
        <w:gridCol w:w="510"/>
        <w:gridCol w:w="510"/>
        <w:gridCol w:w="510"/>
        <w:gridCol w:w="510"/>
      </w:tblGrid>
      <w:tr w:rsidR="00821F4F" w:rsidRPr="00022614" w:rsidTr="00022614">
        <w:trPr>
          <w:trHeight w:val="397"/>
        </w:trPr>
        <w:tc>
          <w:tcPr>
            <w:tcW w:w="1171" w:type="dxa"/>
            <w:shd w:val="clear" w:color="auto" w:fill="auto"/>
            <w:vAlign w:val="center"/>
          </w:tcPr>
          <w:p w:rsidR="00821F4F" w:rsidRPr="00022614" w:rsidRDefault="00821F4F" w:rsidP="00022614">
            <w:pPr>
              <w:jc w:val="center"/>
              <w:rPr>
                <w:rFonts w:ascii="Arial" w:hAnsi="Arial" w:cs="Arial"/>
              </w:rPr>
            </w:pPr>
            <w:r w:rsidRPr="00022614">
              <w:rPr>
                <w:rFonts w:ascii="Arial" w:hAnsi="Arial" w:cs="Arial"/>
                <w:b/>
              </w:rPr>
              <w:t>Question</w:t>
            </w:r>
          </w:p>
        </w:tc>
        <w:tc>
          <w:tcPr>
            <w:tcW w:w="510" w:type="dxa"/>
            <w:shd w:val="clear" w:color="auto" w:fill="auto"/>
            <w:vAlign w:val="center"/>
          </w:tcPr>
          <w:p w:rsidR="00821F4F" w:rsidRPr="00022614" w:rsidRDefault="00821F4F" w:rsidP="00022614">
            <w:pPr>
              <w:jc w:val="center"/>
              <w:rPr>
                <w:rFonts w:ascii="Arial" w:hAnsi="Arial" w:cs="Arial"/>
              </w:rPr>
            </w:pPr>
            <w:r w:rsidRPr="00022614">
              <w:rPr>
                <w:rFonts w:ascii="Arial" w:hAnsi="Arial" w:cs="Arial"/>
              </w:rPr>
              <w:t>1</w:t>
            </w:r>
          </w:p>
        </w:tc>
        <w:tc>
          <w:tcPr>
            <w:tcW w:w="510" w:type="dxa"/>
            <w:shd w:val="clear" w:color="auto" w:fill="auto"/>
            <w:vAlign w:val="center"/>
          </w:tcPr>
          <w:p w:rsidR="00821F4F" w:rsidRPr="00022614" w:rsidRDefault="00821F4F" w:rsidP="00022614">
            <w:pPr>
              <w:jc w:val="center"/>
              <w:rPr>
                <w:rFonts w:ascii="Arial" w:hAnsi="Arial" w:cs="Arial"/>
              </w:rPr>
            </w:pPr>
            <w:r w:rsidRPr="00022614">
              <w:rPr>
                <w:rFonts w:ascii="Arial" w:hAnsi="Arial" w:cs="Arial"/>
              </w:rPr>
              <w:t>2</w:t>
            </w:r>
          </w:p>
        </w:tc>
        <w:tc>
          <w:tcPr>
            <w:tcW w:w="510" w:type="dxa"/>
            <w:shd w:val="clear" w:color="auto" w:fill="auto"/>
            <w:vAlign w:val="center"/>
          </w:tcPr>
          <w:p w:rsidR="00821F4F" w:rsidRPr="00022614" w:rsidRDefault="00821F4F" w:rsidP="00022614">
            <w:pPr>
              <w:jc w:val="center"/>
              <w:rPr>
                <w:rFonts w:ascii="Arial" w:hAnsi="Arial" w:cs="Arial"/>
              </w:rPr>
            </w:pPr>
            <w:r w:rsidRPr="00022614">
              <w:rPr>
                <w:rFonts w:ascii="Arial" w:hAnsi="Arial" w:cs="Arial"/>
              </w:rPr>
              <w:t>3</w:t>
            </w:r>
          </w:p>
        </w:tc>
        <w:tc>
          <w:tcPr>
            <w:tcW w:w="510" w:type="dxa"/>
            <w:shd w:val="clear" w:color="auto" w:fill="auto"/>
            <w:vAlign w:val="center"/>
          </w:tcPr>
          <w:p w:rsidR="00821F4F" w:rsidRPr="00022614" w:rsidRDefault="00821F4F" w:rsidP="00022614">
            <w:pPr>
              <w:jc w:val="center"/>
              <w:rPr>
                <w:rFonts w:ascii="Arial" w:hAnsi="Arial" w:cs="Arial"/>
              </w:rPr>
            </w:pPr>
            <w:r w:rsidRPr="00022614">
              <w:rPr>
                <w:rFonts w:ascii="Arial" w:hAnsi="Arial" w:cs="Arial"/>
              </w:rPr>
              <w:t>4</w:t>
            </w:r>
          </w:p>
        </w:tc>
        <w:tc>
          <w:tcPr>
            <w:tcW w:w="510" w:type="dxa"/>
            <w:shd w:val="clear" w:color="auto" w:fill="auto"/>
            <w:vAlign w:val="center"/>
          </w:tcPr>
          <w:p w:rsidR="00821F4F" w:rsidRPr="00022614" w:rsidRDefault="00821F4F" w:rsidP="00022614">
            <w:pPr>
              <w:jc w:val="center"/>
              <w:rPr>
                <w:rFonts w:ascii="Arial" w:hAnsi="Arial" w:cs="Arial"/>
              </w:rPr>
            </w:pPr>
            <w:r w:rsidRPr="00022614">
              <w:rPr>
                <w:rFonts w:ascii="Arial" w:hAnsi="Arial" w:cs="Arial"/>
              </w:rPr>
              <w:t>5</w:t>
            </w:r>
          </w:p>
        </w:tc>
        <w:tc>
          <w:tcPr>
            <w:tcW w:w="510" w:type="dxa"/>
            <w:shd w:val="clear" w:color="auto" w:fill="auto"/>
            <w:vAlign w:val="center"/>
          </w:tcPr>
          <w:p w:rsidR="00821F4F" w:rsidRPr="00022614" w:rsidRDefault="00821F4F" w:rsidP="00022614">
            <w:pPr>
              <w:jc w:val="center"/>
              <w:rPr>
                <w:rFonts w:ascii="Arial" w:hAnsi="Arial" w:cs="Arial"/>
              </w:rPr>
            </w:pPr>
            <w:r w:rsidRPr="00022614">
              <w:rPr>
                <w:rFonts w:ascii="Arial" w:hAnsi="Arial" w:cs="Arial"/>
              </w:rPr>
              <w:t>6</w:t>
            </w:r>
          </w:p>
        </w:tc>
        <w:tc>
          <w:tcPr>
            <w:tcW w:w="510" w:type="dxa"/>
            <w:shd w:val="clear" w:color="auto" w:fill="auto"/>
            <w:vAlign w:val="center"/>
          </w:tcPr>
          <w:p w:rsidR="00821F4F" w:rsidRPr="00022614" w:rsidRDefault="00821F4F" w:rsidP="00022614">
            <w:pPr>
              <w:jc w:val="center"/>
              <w:rPr>
                <w:rFonts w:ascii="Arial" w:hAnsi="Arial" w:cs="Arial"/>
              </w:rPr>
            </w:pPr>
            <w:r w:rsidRPr="00022614">
              <w:rPr>
                <w:rFonts w:ascii="Arial" w:hAnsi="Arial" w:cs="Arial"/>
              </w:rPr>
              <w:t>7</w:t>
            </w:r>
          </w:p>
        </w:tc>
        <w:tc>
          <w:tcPr>
            <w:tcW w:w="510" w:type="dxa"/>
            <w:shd w:val="clear" w:color="auto" w:fill="auto"/>
            <w:vAlign w:val="center"/>
          </w:tcPr>
          <w:p w:rsidR="00821F4F" w:rsidRPr="00022614" w:rsidRDefault="00821F4F" w:rsidP="00022614">
            <w:pPr>
              <w:jc w:val="center"/>
              <w:rPr>
                <w:rFonts w:ascii="Arial" w:hAnsi="Arial" w:cs="Arial"/>
              </w:rPr>
            </w:pPr>
            <w:r w:rsidRPr="00022614">
              <w:rPr>
                <w:rFonts w:ascii="Arial" w:hAnsi="Arial" w:cs="Arial"/>
              </w:rPr>
              <w:t>8</w:t>
            </w:r>
          </w:p>
        </w:tc>
        <w:tc>
          <w:tcPr>
            <w:tcW w:w="510" w:type="dxa"/>
            <w:shd w:val="clear" w:color="auto" w:fill="auto"/>
            <w:vAlign w:val="center"/>
          </w:tcPr>
          <w:p w:rsidR="00821F4F" w:rsidRPr="00022614" w:rsidRDefault="00821F4F" w:rsidP="00022614">
            <w:pPr>
              <w:jc w:val="center"/>
              <w:rPr>
                <w:rFonts w:ascii="Arial" w:hAnsi="Arial" w:cs="Arial"/>
              </w:rPr>
            </w:pPr>
            <w:r w:rsidRPr="00022614">
              <w:rPr>
                <w:rFonts w:ascii="Arial" w:hAnsi="Arial" w:cs="Arial"/>
              </w:rPr>
              <w:t>9</w:t>
            </w:r>
          </w:p>
        </w:tc>
        <w:tc>
          <w:tcPr>
            <w:tcW w:w="510" w:type="dxa"/>
            <w:shd w:val="clear" w:color="auto" w:fill="auto"/>
            <w:vAlign w:val="center"/>
          </w:tcPr>
          <w:p w:rsidR="00821F4F" w:rsidRPr="00022614" w:rsidRDefault="00821F4F" w:rsidP="00022614">
            <w:pPr>
              <w:jc w:val="center"/>
              <w:rPr>
                <w:rFonts w:ascii="Arial" w:hAnsi="Arial" w:cs="Arial"/>
              </w:rPr>
            </w:pPr>
            <w:r w:rsidRPr="00022614">
              <w:rPr>
                <w:rFonts w:ascii="Arial" w:hAnsi="Arial" w:cs="Arial"/>
              </w:rPr>
              <w:t>10</w:t>
            </w:r>
          </w:p>
        </w:tc>
        <w:tc>
          <w:tcPr>
            <w:tcW w:w="510" w:type="dxa"/>
            <w:shd w:val="clear" w:color="auto" w:fill="auto"/>
            <w:vAlign w:val="center"/>
          </w:tcPr>
          <w:p w:rsidR="00821F4F" w:rsidRPr="00022614" w:rsidRDefault="00821F4F" w:rsidP="00022614">
            <w:pPr>
              <w:jc w:val="center"/>
              <w:rPr>
                <w:rFonts w:ascii="Arial" w:hAnsi="Arial" w:cs="Arial"/>
              </w:rPr>
            </w:pPr>
            <w:r w:rsidRPr="00022614">
              <w:rPr>
                <w:rFonts w:ascii="Arial" w:hAnsi="Arial" w:cs="Arial"/>
              </w:rPr>
              <w:t>11</w:t>
            </w:r>
          </w:p>
        </w:tc>
        <w:tc>
          <w:tcPr>
            <w:tcW w:w="510" w:type="dxa"/>
            <w:shd w:val="clear" w:color="auto" w:fill="auto"/>
            <w:vAlign w:val="center"/>
          </w:tcPr>
          <w:p w:rsidR="00821F4F" w:rsidRPr="00022614" w:rsidRDefault="00821F4F" w:rsidP="00022614">
            <w:pPr>
              <w:jc w:val="center"/>
              <w:rPr>
                <w:rFonts w:ascii="Arial" w:hAnsi="Arial" w:cs="Arial"/>
              </w:rPr>
            </w:pPr>
            <w:r w:rsidRPr="00022614">
              <w:rPr>
                <w:rFonts w:ascii="Arial" w:hAnsi="Arial" w:cs="Arial"/>
              </w:rPr>
              <w:t>12</w:t>
            </w:r>
          </w:p>
        </w:tc>
        <w:tc>
          <w:tcPr>
            <w:tcW w:w="510" w:type="dxa"/>
            <w:shd w:val="clear" w:color="auto" w:fill="auto"/>
            <w:vAlign w:val="center"/>
          </w:tcPr>
          <w:p w:rsidR="00821F4F" w:rsidRPr="00022614" w:rsidRDefault="00821F4F" w:rsidP="00022614">
            <w:pPr>
              <w:jc w:val="center"/>
              <w:rPr>
                <w:rFonts w:ascii="Arial" w:hAnsi="Arial" w:cs="Arial"/>
              </w:rPr>
            </w:pPr>
            <w:r w:rsidRPr="00022614">
              <w:rPr>
                <w:rFonts w:ascii="Arial" w:hAnsi="Arial" w:cs="Arial"/>
              </w:rPr>
              <w:t>13</w:t>
            </w:r>
          </w:p>
        </w:tc>
        <w:tc>
          <w:tcPr>
            <w:tcW w:w="510" w:type="dxa"/>
            <w:shd w:val="clear" w:color="auto" w:fill="auto"/>
            <w:vAlign w:val="center"/>
          </w:tcPr>
          <w:p w:rsidR="00821F4F" w:rsidRPr="00022614" w:rsidRDefault="00821F4F" w:rsidP="00022614">
            <w:pPr>
              <w:jc w:val="center"/>
              <w:rPr>
                <w:rFonts w:ascii="Arial" w:hAnsi="Arial" w:cs="Arial"/>
              </w:rPr>
            </w:pPr>
            <w:r w:rsidRPr="00022614">
              <w:rPr>
                <w:rFonts w:ascii="Arial" w:hAnsi="Arial" w:cs="Arial"/>
              </w:rPr>
              <w:t>14</w:t>
            </w:r>
          </w:p>
        </w:tc>
        <w:tc>
          <w:tcPr>
            <w:tcW w:w="510" w:type="dxa"/>
            <w:shd w:val="clear" w:color="auto" w:fill="auto"/>
            <w:vAlign w:val="center"/>
          </w:tcPr>
          <w:p w:rsidR="00821F4F" w:rsidRPr="00022614" w:rsidRDefault="00821F4F" w:rsidP="00022614">
            <w:pPr>
              <w:jc w:val="center"/>
              <w:rPr>
                <w:rFonts w:ascii="Arial" w:hAnsi="Arial" w:cs="Arial"/>
              </w:rPr>
            </w:pPr>
            <w:r w:rsidRPr="00022614">
              <w:rPr>
                <w:rFonts w:ascii="Arial" w:hAnsi="Arial" w:cs="Arial"/>
              </w:rPr>
              <w:t>15</w:t>
            </w:r>
          </w:p>
        </w:tc>
      </w:tr>
      <w:tr w:rsidR="00821F4F" w:rsidRPr="00022614" w:rsidTr="00022614">
        <w:trPr>
          <w:trHeight w:val="397"/>
        </w:trPr>
        <w:tc>
          <w:tcPr>
            <w:tcW w:w="1171" w:type="dxa"/>
            <w:shd w:val="clear" w:color="auto" w:fill="auto"/>
            <w:vAlign w:val="center"/>
          </w:tcPr>
          <w:p w:rsidR="00821F4F" w:rsidRPr="00022614" w:rsidRDefault="00821F4F" w:rsidP="00022614">
            <w:pPr>
              <w:jc w:val="center"/>
              <w:rPr>
                <w:rFonts w:ascii="Arial" w:hAnsi="Arial" w:cs="Arial"/>
              </w:rPr>
            </w:pPr>
            <w:r w:rsidRPr="00022614">
              <w:rPr>
                <w:rFonts w:ascii="Arial" w:hAnsi="Arial" w:cs="Arial"/>
              </w:rPr>
              <w:t>Mean %</w:t>
            </w:r>
          </w:p>
        </w:tc>
        <w:tc>
          <w:tcPr>
            <w:tcW w:w="510" w:type="dxa"/>
            <w:shd w:val="clear" w:color="auto" w:fill="auto"/>
            <w:vAlign w:val="center"/>
          </w:tcPr>
          <w:p w:rsidR="00821F4F" w:rsidRPr="00022614" w:rsidRDefault="00AE5806" w:rsidP="00022614">
            <w:pPr>
              <w:jc w:val="center"/>
              <w:rPr>
                <w:rFonts w:ascii="Arial" w:hAnsi="Arial" w:cs="Arial"/>
              </w:rPr>
            </w:pPr>
            <w:r w:rsidRPr="00022614">
              <w:rPr>
                <w:rFonts w:ascii="Arial" w:hAnsi="Arial" w:cs="Arial"/>
              </w:rPr>
              <w:t>52</w:t>
            </w:r>
          </w:p>
        </w:tc>
        <w:tc>
          <w:tcPr>
            <w:tcW w:w="510" w:type="dxa"/>
            <w:shd w:val="clear" w:color="auto" w:fill="auto"/>
            <w:vAlign w:val="center"/>
          </w:tcPr>
          <w:p w:rsidR="00821F4F" w:rsidRPr="00022614" w:rsidRDefault="00AE5806" w:rsidP="00022614">
            <w:pPr>
              <w:jc w:val="center"/>
              <w:rPr>
                <w:rFonts w:ascii="Arial" w:hAnsi="Arial" w:cs="Arial"/>
              </w:rPr>
            </w:pPr>
            <w:r w:rsidRPr="00022614">
              <w:rPr>
                <w:rFonts w:ascii="Arial" w:hAnsi="Arial" w:cs="Arial"/>
              </w:rPr>
              <w:t>82</w:t>
            </w:r>
          </w:p>
        </w:tc>
        <w:tc>
          <w:tcPr>
            <w:tcW w:w="510" w:type="dxa"/>
            <w:shd w:val="clear" w:color="auto" w:fill="auto"/>
            <w:vAlign w:val="center"/>
          </w:tcPr>
          <w:p w:rsidR="00821F4F" w:rsidRPr="00022614" w:rsidRDefault="00AE5806" w:rsidP="00022614">
            <w:pPr>
              <w:jc w:val="center"/>
              <w:rPr>
                <w:rFonts w:ascii="Arial" w:hAnsi="Arial" w:cs="Arial"/>
              </w:rPr>
            </w:pPr>
            <w:r w:rsidRPr="00022614">
              <w:rPr>
                <w:rFonts w:ascii="Arial" w:hAnsi="Arial" w:cs="Arial"/>
              </w:rPr>
              <w:t>57</w:t>
            </w:r>
          </w:p>
        </w:tc>
        <w:tc>
          <w:tcPr>
            <w:tcW w:w="510" w:type="dxa"/>
            <w:shd w:val="clear" w:color="auto" w:fill="auto"/>
            <w:vAlign w:val="center"/>
          </w:tcPr>
          <w:p w:rsidR="00821F4F" w:rsidRPr="00022614" w:rsidRDefault="00AE5806" w:rsidP="00022614">
            <w:pPr>
              <w:jc w:val="center"/>
              <w:rPr>
                <w:rFonts w:ascii="Arial" w:hAnsi="Arial" w:cs="Arial"/>
              </w:rPr>
            </w:pPr>
            <w:r w:rsidRPr="00022614">
              <w:rPr>
                <w:rFonts w:ascii="Arial" w:hAnsi="Arial" w:cs="Arial"/>
              </w:rPr>
              <w:t>84</w:t>
            </w:r>
          </w:p>
        </w:tc>
        <w:tc>
          <w:tcPr>
            <w:tcW w:w="510" w:type="dxa"/>
            <w:shd w:val="clear" w:color="auto" w:fill="auto"/>
            <w:vAlign w:val="center"/>
          </w:tcPr>
          <w:p w:rsidR="00821F4F" w:rsidRPr="00022614" w:rsidRDefault="00AE5806" w:rsidP="00022614">
            <w:pPr>
              <w:jc w:val="center"/>
              <w:rPr>
                <w:rFonts w:ascii="Arial" w:hAnsi="Arial" w:cs="Arial"/>
              </w:rPr>
            </w:pPr>
            <w:r w:rsidRPr="00022614">
              <w:rPr>
                <w:rFonts w:ascii="Arial" w:hAnsi="Arial" w:cs="Arial"/>
              </w:rPr>
              <w:t>50</w:t>
            </w:r>
          </w:p>
        </w:tc>
        <w:tc>
          <w:tcPr>
            <w:tcW w:w="510" w:type="dxa"/>
            <w:shd w:val="clear" w:color="auto" w:fill="auto"/>
            <w:vAlign w:val="center"/>
          </w:tcPr>
          <w:p w:rsidR="00821F4F" w:rsidRPr="00022614" w:rsidRDefault="00AE5806" w:rsidP="00022614">
            <w:pPr>
              <w:jc w:val="center"/>
              <w:rPr>
                <w:rFonts w:ascii="Arial" w:hAnsi="Arial" w:cs="Arial"/>
              </w:rPr>
            </w:pPr>
            <w:r w:rsidRPr="00022614">
              <w:rPr>
                <w:rFonts w:ascii="Arial" w:hAnsi="Arial" w:cs="Arial"/>
              </w:rPr>
              <w:t>81</w:t>
            </w:r>
          </w:p>
        </w:tc>
        <w:tc>
          <w:tcPr>
            <w:tcW w:w="510" w:type="dxa"/>
            <w:shd w:val="clear" w:color="auto" w:fill="auto"/>
            <w:vAlign w:val="center"/>
          </w:tcPr>
          <w:p w:rsidR="00821F4F" w:rsidRPr="00022614" w:rsidRDefault="00AE5806" w:rsidP="00022614">
            <w:pPr>
              <w:jc w:val="center"/>
              <w:rPr>
                <w:rFonts w:ascii="Arial" w:hAnsi="Arial" w:cs="Arial"/>
              </w:rPr>
            </w:pPr>
            <w:r w:rsidRPr="00022614">
              <w:rPr>
                <w:rFonts w:ascii="Arial" w:hAnsi="Arial" w:cs="Arial"/>
              </w:rPr>
              <w:t>83</w:t>
            </w:r>
          </w:p>
        </w:tc>
        <w:tc>
          <w:tcPr>
            <w:tcW w:w="510" w:type="dxa"/>
            <w:shd w:val="clear" w:color="auto" w:fill="auto"/>
            <w:vAlign w:val="center"/>
          </w:tcPr>
          <w:p w:rsidR="00821F4F" w:rsidRPr="00022614" w:rsidRDefault="00AE5806" w:rsidP="00022614">
            <w:pPr>
              <w:jc w:val="center"/>
              <w:rPr>
                <w:rFonts w:ascii="Arial" w:hAnsi="Arial" w:cs="Arial"/>
              </w:rPr>
            </w:pPr>
            <w:r w:rsidRPr="00022614">
              <w:rPr>
                <w:rFonts w:ascii="Arial" w:hAnsi="Arial" w:cs="Arial"/>
              </w:rPr>
              <w:t>74</w:t>
            </w:r>
          </w:p>
        </w:tc>
        <w:tc>
          <w:tcPr>
            <w:tcW w:w="510" w:type="dxa"/>
            <w:shd w:val="clear" w:color="auto" w:fill="auto"/>
            <w:vAlign w:val="center"/>
          </w:tcPr>
          <w:p w:rsidR="00821F4F" w:rsidRPr="00022614" w:rsidRDefault="00AE5806" w:rsidP="00022614">
            <w:pPr>
              <w:jc w:val="center"/>
              <w:rPr>
                <w:rFonts w:ascii="Arial" w:hAnsi="Arial" w:cs="Arial"/>
              </w:rPr>
            </w:pPr>
            <w:r w:rsidRPr="00022614">
              <w:rPr>
                <w:rFonts w:ascii="Arial" w:hAnsi="Arial" w:cs="Arial"/>
              </w:rPr>
              <w:t>59</w:t>
            </w:r>
          </w:p>
        </w:tc>
        <w:tc>
          <w:tcPr>
            <w:tcW w:w="510" w:type="dxa"/>
            <w:shd w:val="clear" w:color="auto" w:fill="auto"/>
            <w:vAlign w:val="center"/>
          </w:tcPr>
          <w:p w:rsidR="00821F4F" w:rsidRPr="00022614" w:rsidRDefault="00AE5806" w:rsidP="00022614">
            <w:pPr>
              <w:jc w:val="center"/>
              <w:rPr>
                <w:rFonts w:ascii="Arial" w:hAnsi="Arial" w:cs="Arial"/>
              </w:rPr>
            </w:pPr>
            <w:r w:rsidRPr="00022614">
              <w:rPr>
                <w:rFonts w:ascii="Arial" w:hAnsi="Arial" w:cs="Arial"/>
              </w:rPr>
              <w:t>80</w:t>
            </w:r>
          </w:p>
        </w:tc>
        <w:tc>
          <w:tcPr>
            <w:tcW w:w="510" w:type="dxa"/>
            <w:shd w:val="clear" w:color="auto" w:fill="auto"/>
            <w:vAlign w:val="center"/>
          </w:tcPr>
          <w:p w:rsidR="00821F4F" w:rsidRPr="00022614" w:rsidRDefault="00AE5806" w:rsidP="00022614">
            <w:pPr>
              <w:jc w:val="center"/>
              <w:rPr>
                <w:rFonts w:ascii="Arial" w:hAnsi="Arial" w:cs="Arial"/>
              </w:rPr>
            </w:pPr>
            <w:r w:rsidRPr="00022614">
              <w:rPr>
                <w:rFonts w:ascii="Arial" w:hAnsi="Arial" w:cs="Arial"/>
              </w:rPr>
              <w:t>59</w:t>
            </w:r>
          </w:p>
        </w:tc>
        <w:tc>
          <w:tcPr>
            <w:tcW w:w="510" w:type="dxa"/>
            <w:shd w:val="clear" w:color="auto" w:fill="auto"/>
            <w:vAlign w:val="center"/>
          </w:tcPr>
          <w:p w:rsidR="00821F4F" w:rsidRPr="00022614" w:rsidRDefault="00AE5806" w:rsidP="00022614">
            <w:pPr>
              <w:jc w:val="center"/>
              <w:rPr>
                <w:rFonts w:ascii="Arial" w:hAnsi="Arial" w:cs="Arial"/>
              </w:rPr>
            </w:pPr>
            <w:r w:rsidRPr="00022614">
              <w:rPr>
                <w:rFonts w:ascii="Arial" w:hAnsi="Arial" w:cs="Arial"/>
              </w:rPr>
              <w:t>59</w:t>
            </w:r>
          </w:p>
        </w:tc>
        <w:tc>
          <w:tcPr>
            <w:tcW w:w="510" w:type="dxa"/>
            <w:shd w:val="clear" w:color="auto" w:fill="auto"/>
            <w:vAlign w:val="center"/>
          </w:tcPr>
          <w:p w:rsidR="00821F4F" w:rsidRPr="00022614" w:rsidRDefault="00AE5806" w:rsidP="00022614">
            <w:pPr>
              <w:jc w:val="center"/>
              <w:rPr>
                <w:rFonts w:ascii="Arial" w:hAnsi="Arial" w:cs="Arial"/>
              </w:rPr>
            </w:pPr>
            <w:r w:rsidRPr="00022614">
              <w:rPr>
                <w:rFonts w:ascii="Arial" w:hAnsi="Arial" w:cs="Arial"/>
              </w:rPr>
              <w:t>65</w:t>
            </w:r>
          </w:p>
        </w:tc>
        <w:tc>
          <w:tcPr>
            <w:tcW w:w="510" w:type="dxa"/>
            <w:shd w:val="clear" w:color="auto" w:fill="auto"/>
            <w:vAlign w:val="center"/>
          </w:tcPr>
          <w:p w:rsidR="00821F4F" w:rsidRPr="00022614" w:rsidRDefault="00AE5806" w:rsidP="00022614">
            <w:pPr>
              <w:jc w:val="center"/>
              <w:rPr>
                <w:rFonts w:ascii="Arial" w:hAnsi="Arial" w:cs="Arial"/>
              </w:rPr>
            </w:pPr>
            <w:r w:rsidRPr="00022614">
              <w:rPr>
                <w:rFonts w:ascii="Arial" w:hAnsi="Arial" w:cs="Arial"/>
              </w:rPr>
              <w:t>64</w:t>
            </w:r>
          </w:p>
        </w:tc>
        <w:tc>
          <w:tcPr>
            <w:tcW w:w="510" w:type="dxa"/>
            <w:shd w:val="clear" w:color="auto" w:fill="auto"/>
            <w:vAlign w:val="center"/>
          </w:tcPr>
          <w:p w:rsidR="00821F4F" w:rsidRPr="00022614" w:rsidRDefault="00AE5806" w:rsidP="00022614">
            <w:pPr>
              <w:jc w:val="center"/>
              <w:rPr>
                <w:rFonts w:ascii="Arial" w:hAnsi="Arial" w:cs="Arial"/>
              </w:rPr>
            </w:pPr>
            <w:r w:rsidRPr="00022614">
              <w:rPr>
                <w:rFonts w:ascii="Arial" w:hAnsi="Arial" w:cs="Arial"/>
              </w:rPr>
              <w:t>72</w:t>
            </w:r>
          </w:p>
        </w:tc>
      </w:tr>
    </w:tbl>
    <w:p w:rsidR="007074DA" w:rsidRDefault="007074DA" w:rsidP="007074DA">
      <w:pPr>
        <w:rPr>
          <w:rFonts w:ascii="Arial" w:hAnsi="Arial" w:cs="Arial"/>
        </w:rPr>
      </w:pPr>
    </w:p>
    <w:p w:rsidR="00821F4F" w:rsidRDefault="00821F4F" w:rsidP="007074DA">
      <w:pPr>
        <w:rPr>
          <w:rFonts w:ascii="Arial" w:hAnsi="Arial" w:cs="Arial"/>
        </w:rPr>
      </w:pPr>
    </w:p>
    <w:p w:rsidR="00902510" w:rsidRDefault="00902510" w:rsidP="00674B66">
      <w:pPr>
        <w:pStyle w:val="Italicsheading"/>
      </w:pPr>
      <w:r w:rsidRPr="000A3267">
        <w:t xml:space="preserve">Question </w:t>
      </w:r>
      <w:r>
        <w:t>1</w:t>
      </w:r>
    </w:p>
    <w:p w:rsidR="00902510" w:rsidRDefault="00BB1C38" w:rsidP="00674B66">
      <w:pPr>
        <w:pStyle w:val="BodyText1"/>
      </w:pPr>
      <w:r>
        <w:t xml:space="preserve">Students </w:t>
      </w:r>
      <w:r w:rsidR="00B52E05">
        <w:t>struggled with this question. They displayed little</w:t>
      </w:r>
      <w:r>
        <w:t xml:space="preserve"> knowledge of the internal structure of the wheat seed</w:t>
      </w:r>
      <w:r w:rsidR="00B52E05">
        <w:t xml:space="preserve"> and </w:t>
      </w:r>
      <w:r>
        <w:t>relatively few made the connection between oxygen and cellular respiration to produce energy.</w:t>
      </w:r>
    </w:p>
    <w:p w:rsidR="00BB1C38" w:rsidRDefault="00BB1C38" w:rsidP="00674B66">
      <w:pPr>
        <w:pStyle w:val="Italicsheading"/>
        <w:rPr>
          <w:rFonts w:cs="Arial"/>
        </w:rPr>
      </w:pPr>
      <w:r w:rsidRPr="000A3267">
        <w:t xml:space="preserve">Question </w:t>
      </w:r>
      <w:r>
        <w:t>2</w:t>
      </w:r>
    </w:p>
    <w:p w:rsidR="00BB1C38" w:rsidRDefault="00C16E05" w:rsidP="00674B66">
      <w:pPr>
        <w:pStyle w:val="BodyText1"/>
      </w:pPr>
      <w:r>
        <w:t xml:space="preserve">This question was </w:t>
      </w:r>
      <w:r w:rsidR="0054018E">
        <w:t>well done</w:t>
      </w:r>
      <w:r>
        <w:t>. Students understood clearly the differences between the monocotyledon and dicotyledon plants. A few students still struggled with the uptake of nutrients however.</w:t>
      </w:r>
    </w:p>
    <w:p w:rsidR="00C16E05" w:rsidRPr="00674B66" w:rsidRDefault="00C16E05" w:rsidP="00674B66">
      <w:pPr>
        <w:pStyle w:val="Italicsheading"/>
      </w:pPr>
      <w:r w:rsidRPr="00674B66">
        <w:t>Question 3</w:t>
      </w:r>
    </w:p>
    <w:p w:rsidR="00C16E05" w:rsidRDefault="00C16E05" w:rsidP="00674B66">
      <w:pPr>
        <w:pStyle w:val="BodyText1"/>
      </w:pPr>
      <w:r>
        <w:t xml:space="preserve">Students usually had an acceptable understanding of the two macronutrients required, with a greater number opting to discuss calcium than </w:t>
      </w:r>
      <w:r w:rsidR="00D24BBE">
        <w:t>sulphur</w:t>
      </w:r>
      <w:r>
        <w:t>. Most knew why tissue culture was asexual in nature, but less could explain how it was used to propagate plants.</w:t>
      </w:r>
    </w:p>
    <w:p w:rsidR="00C16E05" w:rsidRDefault="00C16E05" w:rsidP="00674B66">
      <w:pPr>
        <w:pStyle w:val="Italicsheading"/>
        <w:rPr>
          <w:rFonts w:cs="Arial"/>
        </w:rPr>
      </w:pPr>
      <w:r w:rsidRPr="000A3267">
        <w:lastRenderedPageBreak/>
        <w:t xml:space="preserve">Question </w:t>
      </w:r>
      <w:r>
        <w:t>4</w:t>
      </w:r>
    </w:p>
    <w:p w:rsidR="00C16E05" w:rsidRDefault="00D24BBE" w:rsidP="00674B66">
      <w:pPr>
        <w:pStyle w:val="BodyText1"/>
      </w:pPr>
      <w:r>
        <w:t>This was t</w:t>
      </w:r>
      <w:r w:rsidR="00C16E05">
        <w:t xml:space="preserve">he </w:t>
      </w:r>
      <w:r>
        <w:t xml:space="preserve">question </w:t>
      </w:r>
      <w:r w:rsidR="00C16E05">
        <w:t>in the paper</w:t>
      </w:r>
      <w:r>
        <w:t xml:space="preserve"> that was answered most succesfully</w:t>
      </w:r>
      <w:r w:rsidR="00C16E05">
        <w:t xml:space="preserve">. Students had a good </w:t>
      </w:r>
      <w:r w:rsidR="00922851">
        <w:t>understanding</w:t>
      </w:r>
      <w:r w:rsidR="00C16E05">
        <w:t xml:space="preserve"> of plant physiological processes, and could </w:t>
      </w:r>
      <w:r w:rsidR="0054018E">
        <w:t xml:space="preserve">apply </w:t>
      </w:r>
      <w:r w:rsidR="00C16E05">
        <w:t xml:space="preserve">that </w:t>
      </w:r>
      <w:r w:rsidR="00922851">
        <w:t>understanding</w:t>
      </w:r>
      <w:r w:rsidR="00C16E05">
        <w:t xml:space="preserve"> to </w:t>
      </w:r>
      <w:r w:rsidR="0054018E">
        <w:t>part (d)</w:t>
      </w:r>
      <w:r w:rsidR="00922851">
        <w:t>. This year most did well with the chemical equation for photosynthesis.</w:t>
      </w:r>
    </w:p>
    <w:p w:rsidR="00C16E05" w:rsidRDefault="00C16E05" w:rsidP="00674B66">
      <w:pPr>
        <w:pStyle w:val="Italicsheading"/>
        <w:rPr>
          <w:rFonts w:cs="Arial"/>
        </w:rPr>
      </w:pPr>
      <w:r w:rsidRPr="000A3267">
        <w:t xml:space="preserve">Question </w:t>
      </w:r>
      <w:r>
        <w:t>5</w:t>
      </w:r>
    </w:p>
    <w:p w:rsidR="00C16E05" w:rsidRDefault="002F5887" w:rsidP="00674B66">
      <w:pPr>
        <w:pStyle w:val="BodyText1"/>
      </w:pPr>
      <w:r>
        <w:t xml:space="preserve">This was the </w:t>
      </w:r>
      <w:r w:rsidR="00F465DE">
        <w:t xml:space="preserve">question </w:t>
      </w:r>
      <w:r w:rsidR="00D24BBE">
        <w:t>students found most difficult in this year’s paper as</w:t>
      </w:r>
      <w:r>
        <w:t xml:space="preserve"> </w:t>
      </w:r>
      <w:r w:rsidR="00F465DE">
        <w:t xml:space="preserve">too many simply </w:t>
      </w:r>
      <w:r>
        <w:t xml:space="preserve">stated </w:t>
      </w:r>
      <w:r w:rsidR="00F465DE">
        <w:t xml:space="preserve">information provided </w:t>
      </w:r>
      <w:r w:rsidR="00D24BBE">
        <w:t>in</w:t>
      </w:r>
      <w:r w:rsidR="00F465DE">
        <w:t xml:space="preserve"> the graph. Each section of this question required an explanation of the reason </w:t>
      </w:r>
      <w:r w:rsidR="00D24BBE">
        <w:t xml:space="preserve">explaining </w:t>
      </w:r>
      <w:r w:rsidR="00F465DE">
        <w:t>the graphical data.</w:t>
      </w:r>
    </w:p>
    <w:p w:rsidR="00C16E05" w:rsidRDefault="00C16E05" w:rsidP="00674B66">
      <w:pPr>
        <w:pStyle w:val="Italicsheading"/>
        <w:rPr>
          <w:rFonts w:cs="Arial"/>
        </w:rPr>
      </w:pPr>
      <w:r w:rsidRPr="000A3267">
        <w:t xml:space="preserve">Question </w:t>
      </w:r>
      <w:r>
        <w:t>6</w:t>
      </w:r>
    </w:p>
    <w:p w:rsidR="00C16E05" w:rsidRDefault="00F465DE" w:rsidP="00674B66">
      <w:pPr>
        <w:pStyle w:val="BodyText1"/>
      </w:pPr>
      <w:r>
        <w:t>This question was generally well</w:t>
      </w:r>
      <w:r w:rsidR="00B432D9">
        <w:t>-</w:t>
      </w:r>
      <w:r>
        <w:t xml:space="preserve">answered, in contrast to the previous question </w:t>
      </w:r>
      <w:r w:rsidR="002F5887">
        <w:t xml:space="preserve">that </w:t>
      </w:r>
      <w:r>
        <w:t xml:space="preserve">required </w:t>
      </w:r>
      <w:r w:rsidR="002F5887">
        <w:t>similar</w:t>
      </w:r>
      <w:r>
        <w:t xml:space="preserve"> skills.</w:t>
      </w:r>
    </w:p>
    <w:p w:rsidR="00C16E05" w:rsidRDefault="00C16E05" w:rsidP="00674B66">
      <w:pPr>
        <w:pStyle w:val="Italicsheading"/>
        <w:rPr>
          <w:rFonts w:cs="Arial"/>
        </w:rPr>
      </w:pPr>
      <w:r w:rsidRPr="000A3267">
        <w:t xml:space="preserve">Question </w:t>
      </w:r>
      <w:r>
        <w:t>7</w:t>
      </w:r>
    </w:p>
    <w:p w:rsidR="00F465DE" w:rsidRDefault="00F465DE" w:rsidP="00674B66">
      <w:pPr>
        <w:pStyle w:val="BodyText1"/>
      </w:pPr>
      <w:r>
        <w:t xml:space="preserve">Students were generally able to </w:t>
      </w:r>
      <w:r w:rsidR="00D24BBE">
        <w:t xml:space="preserve">clearly </w:t>
      </w:r>
      <w:r>
        <w:t>distinguish between soil structure and soil texture</w:t>
      </w:r>
      <w:r w:rsidR="00D24BBE">
        <w:t xml:space="preserve">. </w:t>
      </w:r>
      <w:r>
        <w:t>Students could interpret the earthworm graph effectively, and related how direct drilling could be of benefit to plant growth.</w:t>
      </w:r>
    </w:p>
    <w:p w:rsidR="00C16E05" w:rsidRDefault="00C16E05" w:rsidP="00674B66">
      <w:pPr>
        <w:pStyle w:val="Italicsheading"/>
        <w:rPr>
          <w:rFonts w:cs="Arial"/>
        </w:rPr>
      </w:pPr>
      <w:r w:rsidRPr="000A3267">
        <w:t xml:space="preserve">Question </w:t>
      </w:r>
      <w:r>
        <w:t>8</w:t>
      </w:r>
    </w:p>
    <w:p w:rsidR="00C16E05" w:rsidRDefault="001913FB" w:rsidP="00674B66">
      <w:pPr>
        <w:pStyle w:val="BodyText1"/>
      </w:pPr>
      <w:r>
        <w:t xml:space="preserve">A majority of students provided a suitable justification for this observation. </w:t>
      </w:r>
    </w:p>
    <w:p w:rsidR="00C16E05" w:rsidRDefault="00C16E05" w:rsidP="00674B66">
      <w:pPr>
        <w:pStyle w:val="Italicsheading"/>
        <w:rPr>
          <w:rFonts w:cs="Arial"/>
        </w:rPr>
      </w:pPr>
      <w:r w:rsidRPr="000A3267">
        <w:t xml:space="preserve">Question </w:t>
      </w:r>
      <w:r>
        <w:t>9</w:t>
      </w:r>
    </w:p>
    <w:p w:rsidR="00C16E05" w:rsidRDefault="001913FB" w:rsidP="00674B66">
      <w:pPr>
        <w:pStyle w:val="BodyText1"/>
      </w:pPr>
      <w:r>
        <w:t xml:space="preserve">Too many students did not clearly label the horizons requested. Given the </w:t>
      </w:r>
      <w:r w:rsidR="00D70793">
        <w:t xml:space="preserve">large </w:t>
      </w:r>
      <w:r>
        <w:t>size of some student’s writing, a label next to two or three horizons was not given any marks.</w:t>
      </w:r>
      <w:r w:rsidR="00500457">
        <w:t xml:space="preserve"> For those students who knew their soil profiles, they were able to label and explain the components of the horizon </w:t>
      </w:r>
      <w:r w:rsidR="006A6EC5">
        <w:t>accurately</w:t>
      </w:r>
      <w:r w:rsidR="00500457">
        <w:t xml:space="preserve">, </w:t>
      </w:r>
      <w:r w:rsidR="00D70793">
        <w:t>and</w:t>
      </w:r>
      <w:r w:rsidR="00500457">
        <w:t xml:space="preserve"> expand on the reasons for the different colouration of the A2 horizon. A majority of students were able to logically explain the problems of shallow soil on plant growth.</w:t>
      </w:r>
    </w:p>
    <w:p w:rsidR="00C16E05" w:rsidRDefault="00C16E05" w:rsidP="00674B66">
      <w:pPr>
        <w:pStyle w:val="Italicsheading"/>
        <w:rPr>
          <w:rFonts w:cs="Arial"/>
        </w:rPr>
      </w:pPr>
      <w:r w:rsidRPr="000A3267">
        <w:t xml:space="preserve">Question </w:t>
      </w:r>
      <w:r>
        <w:t>10</w:t>
      </w:r>
    </w:p>
    <w:p w:rsidR="00C16E05" w:rsidRDefault="00500457" w:rsidP="00674B66">
      <w:pPr>
        <w:pStyle w:val="BodyText1"/>
      </w:pPr>
      <w:r>
        <w:t>Students took advantage of the opportunity to write a longer response with less formal structure. The responses covered a range of factors, with a majority of students gaining either 3 or 4 marks for this question.</w:t>
      </w:r>
    </w:p>
    <w:p w:rsidR="00C16E05" w:rsidRDefault="00C16E05" w:rsidP="00674B66">
      <w:pPr>
        <w:pStyle w:val="Italicsheading"/>
        <w:rPr>
          <w:rFonts w:cs="Arial"/>
        </w:rPr>
      </w:pPr>
      <w:r w:rsidRPr="000A3267">
        <w:t xml:space="preserve">Question </w:t>
      </w:r>
      <w:r>
        <w:t>11</w:t>
      </w:r>
    </w:p>
    <w:p w:rsidR="00C16E05" w:rsidRDefault="00500457" w:rsidP="00674B66">
      <w:pPr>
        <w:pStyle w:val="BodyText1"/>
      </w:pPr>
      <w:r>
        <w:t xml:space="preserve">Students tended to struggle with this question. They tended to give satisfactory answers to part (c), but had difficulty providing the soil chemistry that </w:t>
      </w:r>
      <w:r w:rsidR="00A14F0E">
        <w:t xml:space="preserve">explains </w:t>
      </w:r>
      <w:r>
        <w:t xml:space="preserve">why </w:t>
      </w:r>
      <w:r w:rsidR="00A14F0E">
        <w:t xml:space="preserve">gypsum can solve </w:t>
      </w:r>
      <w:r>
        <w:t xml:space="preserve">one problem </w:t>
      </w:r>
      <w:r w:rsidR="00A14F0E">
        <w:t>but may</w:t>
      </w:r>
      <w:r>
        <w:t xml:space="preserve"> lead to another problem, that of salinity.</w:t>
      </w:r>
    </w:p>
    <w:p w:rsidR="00C16E05" w:rsidRDefault="00C16E05" w:rsidP="00674B66">
      <w:pPr>
        <w:pStyle w:val="Italicsheading"/>
        <w:rPr>
          <w:rFonts w:cs="Arial"/>
        </w:rPr>
      </w:pPr>
      <w:r w:rsidRPr="000A3267">
        <w:t xml:space="preserve">Question </w:t>
      </w:r>
      <w:r>
        <w:t>12</w:t>
      </w:r>
    </w:p>
    <w:p w:rsidR="00C16E05" w:rsidRDefault="00500457" w:rsidP="00674B66">
      <w:pPr>
        <w:pStyle w:val="BodyText1"/>
      </w:pPr>
      <w:r>
        <w:t xml:space="preserve">Students struggled </w:t>
      </w:r>
      <w:r w:rsidR="008177C2">
        <w:t>to know</w:t>
      </w:r>
      <w:r>
        <w:t xml:space="preserve"> the organs</w:t>
      </w:r>
      <w:r w:rsidR="008177C2">
        <w:t>,</w:t>
      </w:r>
      <w:r>
        <w:t xml:space="preserve"> and their roles</w:t>
      </w:r>
      <w:r w:rsidR="008177C2">
        <w:t>,</w:t>
      </w:r>
      <w:r>
        <w:t xml:space="preserve"> of the poultry digestive tract.</w:t>
      </w:r>
      <w:r w:rsidR="00A3796A">
        <w:t xml:space="preserve"> Having explain</w:t>
      </w:r>
      <w:r w:rsidR="00A14F0E">
        <w:t>ed</w:t>
      </w:r>
      <w:r w:rsidR="00A3796A">
        <w:t xml:space="preserve"> the difference</w:t>
      </w:r>
      <w:r w:rsidR="00A14F0E">
        <w:t>s</w:t>
      </w:r>
      <w:r w:rsidR="00A3796A">
        <w:t xml:space="preserve"> </w:t>
      </w:r>
      <w:r w:rsidR="00A14F0E">
        <w:t>between poultry and</w:t>
      </w:r>
      <w:r w:rsidR="00A3796A">
        <w:t xml:space="preserve"> pig</w:t>
      </w:r>
      <w:r w:rsidR="00C80FAB">
        <w:t xml:space="preserve"> digestive systems</w:t>
      </w:r>
      <w:r w:rsidR="00A3796A">
        <w:t xml:space="preserve">, more than a few students decided that the pig was a ruminant, highlighting the risk of </w:t>
      </w:r>
      <w:r w:rsidR="00A3796A">
        <w:lastRenderedPageBreak/>
        <w:t xml:space="preserve">learning </w:t>
      </w:r>
      <w:r w:rsidR="00C80FAB">
        <w:t xml:space="preserve">rehearsed </w:t>
      </w:r>
      <w:r w:rsidR="00A3796A">
        <w:t>answers compar</w:t>
      </w:r>
      <w:r w:rsidR="00C80FAB">
        <w:t>ing</w:t>
      </w:r>
      <w:r w:rsidR="00A3796A">
        <w:t xml:space="preserve"> </w:t>
      </w:r>
      <w:r w:rsidR="00C80FAB">
        <w:t xml:space="preserve">digestive systems of a </w:t>
      </w:r>
      <w:r w:rsidR="00A3796A">
        <w:t xml:space="preserve">ruminant </w:t>
      </w:r>
      <w:r w:rsidR="00C80FAB">
        <w:t>and</w:t>
      </w:r>
      <w:r w:rsidR="00A3796A">
        <w:t xml:space="preserve"> a monogastric, rather than comprehending what the question is actually asking.</w:t>
      </w:r>
    </w:p>
    <w:p w:rsidR="00C16E05" w:rsidRDefault="00C16E05" w:rsidP="00674B66">
      <w:pPr>
        <w:pStyle w:val="Italicsheading"/>
        <w:rPr>
          <w:rFonts w:cs="Arial"/>
        </w:rPr>
      </w:pPr>
      <w:r w:rsidRPr="000A3267">
        <w:t xml:space="preserve">Question </w:t>
      </w:r>
      <w:r>
        <w:t>13</w:t>
      </w:r>
    </w:p>
    <w:p w:rsidR="00C16E05" w:rsidRDefault="00A3796A" w:rsidP="00674B66">
      <w:pPr>
        <w:pStyle w:val="BodyText1"/>
      </w:pPr>
      <w:r>
        <w:t>The questions on ruminant digestion and function were generally satisfactorily completed.</w:t>
      </w:r>
    </w:p>
    <w:p w:rsidR="00C16E05" w:rsidRDefault="00C16E05" w:rsidP="00674B66">
      <w:pPr>
        <w:pStyle w:val="Italicsheading"/>
        <w:rPr>
          <w:rFonts w:cs="Arial"/>
        </w:rPr>
      </w:pPr>
      <w:r w:rsidRPr="000A3267">
        <w:t xml:space="preserve">Question </w:t>
      </w:r>
      <w:r>
        <w:t>14</w:t>
      </w:r>
    </w:p>
    <w:p w:rsidR="00C16E05" w:rsidRDefault="00A3796A" w:rsidP="00674B66">
      <w:pPr>
        <w:pStyle w:val="BodyText1"/>
      </w:pPr>
      <w:r>
        <w:t xml:space="preserve">A majority of students answered the questions on sheep breeding well. It was disappointing that too many students could not </w:t>
      </w:r>
      <w:r w:rsidR="008177C2">
        <w:t xml:space="preserve">successfully </w:t>
      </w:r>
      <w:r>
        <w:t>convert 150 days into 5 months and so accurately predict the estimated beginning of lambing.</w:t>
      </w:r>
    </w:p>
    <w:p w:rsidR="00C16E05" w:rsidRDefault="00C16E05" w:rsidP="00674B66">
      <w:pPr>
        <w:pStyle w:val="Italicsheading"/>
        <w:rPr>
          <w:rFonts w:cs="Arial"/>
        </w:rPr>
      </w:pPr>
      <w:r w:rsidRPr="000A3267">
        <w:t xml:space="preserve">Question </w:t>
      </w:r>
      <w:r>
        <w:t>15</w:t>
      </w:r>
    </w:p>
    <w:p w:rsidR="00C16E05" w:rsidRPr="00B432D9" w:rsidRDefault="00A3796A" w:rsidP="00674B66">
      <w:pPr>
        <w:pStyle w:val="BodyText1"/>
        <w:rPr>
          <w:rFonts w:ascii="Times New Roman" w:hAnsi="Times New Roman"/>
        </w:rPr>
      </w:pPr>
      <w:r>
        <w:t>This question was generally well</w:t>
      </w:r>
      <w:r w:rsidR="00B432D9">
        <w:t>-</w:t>
      </w:r>
      <w:r>
        <w:t>answered, with most students capable of reading the tables and interpreting the data.</w:t>
      </w:r>
    </w:p>
    <w:p w:rsidR="007074DA" w:rsidRPr="00821B37" w:rsidRDefault="007074DA" w:rsidP="00821B37">
      <w:pPr>
        <w:pStyle w:val="Topicheading2"/>
      </w:pPr>
      <w:r w:rsidRPr="00821B37">
        <w:t>Part 2: Extended-response Questions</w:t>
      </w:r>
    </w:p>
    <w:p w:rsidR="00821B37" w:rsidRPr="00821B37" w:rsidRDefault="00821B37" w:rsidP="00821B37">
      <w:pPr>
        <w:pStyle w:val="Italicsheading"/>
      </w:pPr>
      <w:r w:rsidRPr="00821B37">
        <w:t>Questions 16 and 17</w:t>
      </w:r>
    </w:p>
    <w:p w:rsidR="007074DA" w:rsidRPr="00335B97" w:rsidRDefault="007074DA" w:rsidP="00674B66">
      <w:pPr>
        <w:pStyle w:val="BodyText1"/>
      </w:pPr>
      <w:r w:rsidRPr="00335B97">
        <w:t>Each extended-response question is marked out of 20, with 16 marks being allocated for content and 4 marks for communication. In awarding the communication mark the following factors were taken into account:</w:t>
      </w:r>
    </w:p>
    <w:p w:rsidR="007074DA" w:rsidRPr="00335B97" w:rsidRDefault="007074DA" w:rsidP="00674B66">
      <w:pPr>
        <w:pStyle w:val="dotpoints"/>
      </w:pPr>
      <w:r w:rsidRPr="00335B97">
        <w:t>Clarity and expression</w:t>
      </w:r>
    </w:p>
    <w:p w:rsidR="007074DA" w:rsidRPr="00335B97" w:rsidRDefault="007074DA" w:rsidP="00674B66">
      <w:pPr>
        <w:pStyle w:val="dotpoints"/>
      </w:pPr>
      <w:r w:rsidRPr="00335B97">
        <w:t>Organisation and relevance</w:t>
      </w:r>
    </w:p>
    <w:p w:rsidR="007074DA" w:rsidRPr="00335B97" w:rsidRDefault="007074DA" w:rsidP="00674B66">
      <w:pPr>
        <w:pStyle w:val="dotpoints"/>
      </w:pPr>
      <w:r w:rsidRPr="00335B97">
        <w:t>Correct use of agricultural and horticultural terminology</w:t>
      </w:r>
    </w:p>
    <w:p w:rsidR="007074DA" w:rsidRPr="00335B97" w:rsidRDefault="00821F4F" w:rsidP="00674B66">
      <w:pPr>
        <w:pStyle w:val="BodyText1"/>
      </w:pPr>
      <w:r>
        <w:t xml:space="preserve">This year all students </w:t>
      </w:r>
      <w:r w:rsidRPr="00335B97">
        <w:t>attempt</w:t>
      </w:r>
      <w:r>
        <w:t>ed</w:t>
      </w:r>
      <w:r w:rsidRPr="00335B97">
        <w:t xml:space="preserve"> </w:t>
      </w:r>
      <w:r>
        <w:t>the</w:t>
      </w:r>
      <w:r w:rsidRPr="00335B97">
        <w:t xml:space="preserve"> extended response. </w:t>
      </w:r>
      <w:r>
        <w:t xml:space="preserve">There </w:t>
      </w:r>
      <w:r w:rsidR="00280A6C">
        <w:t xml:space="preserve">was </w:t>
      </w:r>
      <w:r>
        <w:t xml:space="preserve">a </w:t>
      </w:r>
      <w:r w:rsidR="006A6EC5">
        <w:t>relatively even</w:t>
      </w:r>
      <w:bookmarkStart w:id="0" w:name="_GoBack"/>
      <w:bookmarkEnd w:id="0"/>
      <w:r w:rsidR="00280A6C">
        <w:t xml:space="preserve"> split between the questions</w:t>
      </w:r>
      <w:r w:rsidR="00125487">
        <w:t>, with 20 students choosing q</w:t>
      </w:r>
      <w:r w:rsidR="00125487" w:rsidRPr="00335B97">
        <w:t xml:space="preserve">uestion </w:t>
      </w:r>
      <w:r w:rsidR="00125487">
        <w:t>16</w:t>
      </w:r>
      <w:r w:rsidR="00125487" w:rsidRPr="00335B97">
        <w:t xml:space="preserve"> </w:t>
      </w:r>
      <w:r w:rsidR="00125487">
        <w:t>and 14 choosing q</w:t>
      </w:r>
      <w:r w:rsidR="00125487" w:rsidRPr="00335B97">
        <w:t>uestion</w:t>
      </w:r>
      <w:r w:rsidR="00125487">
        <w:t xml:space="preserve"> 17.</w:t>
      </w:r>
      <w:r w:rsidR="000C2639">
        <w:t xml:space="preserve"> </w:t>
      </w:r>
      <w:r>
        <w:t>Both questions had a mean score</w:t>
      </w:r>
      <w:r w:rsidR="0022373B">
        <w:t xml:space="preserve"> of 15</w:t>
      </w:r>
      <w:r w:rsidR="007074DA" w:rsidRPr="00335B97">
        <w:t>.</w:t>
      </w:r>
      <w:r w:rsidR="0022373B">
        <w:t>3</w:t>
      </w:r>
      <w:r w:rsidR="007074DA" w:rsidRPr="00335B97">
        <w:t xml:space="preserve">. For both questions, a majority of students were able to satisfactorily </w:t>
      </w:r>
      <w:r w:rsidR="00280A6C">
        <w:t xml:space="preserve">address the dot points required, </w:t>
      </w:r>
      <w:r>
        <w:t xml:space="preserve">achieving more highly than in most other questions. </w:t>
      </w:r>
    </w:p>
    <w:p w:rsidR="0087269B" w:rsidRPr="00335B97" w:rsidRDefault="00752955" w:rsidP="00674B66">
      <w:pPr>
        <w:pStyle w:val="BodyText1"/>
      </w:pPr>
      <w:r>
        <w:t xml:space="preserve">However, this </w:t>
      </w:r>
      <w:r w:rsidR="0087269B">
        <w:t xml:space="preserve">year it was noted </w:t>
      </w:r>
      <w:r>
        <w:t>that</w:t>
      </w:r>
      <w:r w:rsidR="0087269B">
        <w:t xml:space="preserve"> </w:t>
      </w:r>
      <w:r>
        <w:t xml:space="preserve">many </w:t>
      </w:r>
      <w:r w:rsidR="0087269B">
        <w:t>students did</w:t>
      </w:r>
      <w:r w:rsidR="00B432D9">
        <w:t xml:space="preserve"> not</w:t>
      </w:r>
      <w:r w:rsidR="0087269B">
        <w:t xml:space="preserve"> read the entire question thoroughly enough before beginning </w:t>
      </w:r>
      <w:r w:rsidR="002B3E29">
        <w:t xml:space="preserve">their </w:t>
      </w:r>
      <w:r w:rsidR="0087269B">
        <w:t xml:space="preserve">answer. Taking that extra few seconds could have improved many responses, as the knowledge was clearly </w:t>
      </w:r>
      <w:r w:rsidR="002B3E29">
        <w:t>there</w:t>
      </w:r>
      <w:r w:rsidR="0087269B">
        <w:t>, but the correct articulation often did not come through.</w:t>
      </w:r>
    </w:p>
    <w:p w:rsidR="008A7C1E" w:rsidRPr="000B51DE" w:rsidRDefault="008A7C1E" w:rsidP="008A7C1E">
      <w:pPr>
        <w:pStyle w:val="Heading2"/>
      </w:pPr>
      <w:r>
        <w:t>Operational Advice</w:t>
      </w:r>
    </w:p>
    <w:p w:rsidR="008A7C1E" w:rsidRDefault="008A7C1E" w:rsidP="008A7C1E">
      <w:pPr>
        <w:pStyle w:val="BodyText1"/>
      </w:pPr>
      <w:r>
        <w:t>School assessment tasks are set and marked by teachers. Teachers’ assessment decisions are reviewed by moderators. Teacher grades/marks should be evident on all student school assessment work.</w:t>
      </w:r>
    </w:p>
    <w:p w:rsidR="0022373B" w:rsidRPr="00674B66" w:rsidRDefault="001A0F23" w:rsidP="00674B66">
      <w:pPr>
        <w:spacing w:before="840"/>
        <w:rPr>
          <w:rFonts w:ascii="Arial" w:hAnsi="Arial" w:cs="Arial"/>
          <w:szCs w:val="22"/>
        </w:rPr>
      </w:pPr>
      <w:r w:rsidRPr="00674B66">
        <w:rPr>
          <w:rFonts w:ascii="Arial" w:hAnsi="Arial" w:cs="Arial"/>
        </w:rPr>
        <w:t>Chief Assessor</w:t>
      </w:r>
      <w:r w:rsidR="0022373B" w:rsidRPr="00674B66">
        <w:rPr>
          <w:rFonts w:ascii="Arial" w:hAnsi="Arial" w:cs="Arial"/>
          <w:szCs w:val="22"/>
        </w:rPr>
        <w:t xml:space="preserve"> </w:t>
      </w:r>
    </w:p>
    <w:p w:rsidR="00DC7C11" w:rsidRPr="0022373B" w:rsidRDefault="0022373B" w:rsidP="00674B66">
      <w:r w:rsidRPr="00674B66">
        <w:rPr>
          <w:rFonts w:ascii="Arial" w:hAnsi="Arial" w:cs="Arial"/>
          <w:szCs w:val="22"/>
        </w:rPr>
        <w:t>Agricultural and Horticultural Science</w:t>
      </w:r>
    </w:p>
    <w:sectPr w:rsidR="00DC7C11" w:rsidRPr="0022373B" w:rsidSect="003C7581">
      <w:footerReference w:type="default" r:id="rId12"/>
      <w:headerReference w:type="first" r:id="rId13"/>
      <w:footerReference w:type="first" r:id="rId14"/>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33E" w:rsidRDefault="001B733E">
      <w:r>
        <w:separator/>
      </w:r>
    </w:p>
    <w:p w:rsidR="001B733E" w:rsidRDefault="001B733E"/>
  </w:endnote>
  <w:endnote w:type="continuationSeparator" w:id="0">
    <w:p w:rsidR="001B733E" w:rsidRDefault="001B733E">
      <w:r>
        <w:continuationSeparator/>
      </w:r>
    </w:p>
    <w:p w:rsidR="001B733E" w:rsidRDefault="001B7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3FB" w:rsidRDefault="001913FB">
    <w:pPr>
      <w:framePr w:wrap="around" w:vAnchor="text" w:hAnchor="margin" w:xAlign="center" w:y="1"/>
    </w:pPr>
    <w:r>
      <w:fldChar w:fldCharType="begin"/>
    </w:r>
    <w:r>
      <w:instrText xml:space="preserve">PAGE  </w:instrText>
    </w:r>
    <w:r>
      <w:fldChar w:fldCharType="separate"/>
    </w:r>
    <w:r>
      <w:rPr>
        <w:noProof/>
      </w:rPr>
      <w:t>1</w:t>
    </w:r>
    <w:r>
      <w:fldChar w:fldCharType="end"/>
    </w:r>
  </w:p>
  <w:p w:rsidR="001913FB" w:rsidRDefault="001913FB">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3FB" w:rsidRDefault="001913FB">
    <w:pPr>
      <w:framePr w:wrap="around" w:vAnchor="text" w:hAnchor="margin" w:xAlign="center" w:y="1"/>
    </w:pPr>
    <w:r>
      <w:fldChar w:fldCharType="begin"/>
    </w:r>
    <w:r>
      <w:instrText xml:space="preserve">PAGE  </w:instrText>
    </w:r>
    <w:r>
      <w:fldChar w:fldCharType="separate"/>
    </w:r>
    <w:r>
      <w:rPr>
        <w:noProof/>
      </w:rPr>
      <w:t>1</w:t>
    </w:r>
    <w:r>
      <w:fldChar w:fldCharType="end"/>
    </w:r>
  </w:p>
  <w:p w:rsidR="001913FB" w:rsidRDefault="001913FB">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3FB" w:rsidRPr="00674B66" w:rsidRDefault="001913FB" w:rsidP="0054520B">
    <w:pPr>
      <w:pStyle w:val="CAFooter"/>
    </w:pPr>
    <w:r w:rsidRPr="00674B66">
      <w:t>Agricultural and Horticultural Science 2015 Chief Assessor’s Report</w:t>
    </w:r>
    <w:r w:rsidRPr="00674B66">
      <w:tab/>
      <w:t xml:space="preserve">Page </w:t>
    </w:r>
    <w:r w:rsidRPr="00674B66">
      <w:fldChar w:fldCharType="begin"/>
    </w:r>
    <w:r w:rsidRPr="00674B66">
      <w:instrText xml:space="preserve"> PAGE </w:instrText>
    </w:r>
    <w:r w:rsidRPr="00674B66">
      <w:fldChar w:fldCharType="separate"/>
    </w:r>
    <w:r w:rsidR="006A6EC5">
      <w:rPr>
        <w:noProof/>
      </w:rPr>
      <w:t>5</w:t>
    </w:r>
    <w:r w:rsidRPr="00674B66">
      <w:fldChar w:fldCharType="end"/>
    </w:r>
    <w:r w:rsidRPr="00674B66">
      <w:t xml:space="preserve"> of </w:t>
    </w:r>
    <w:r w:rsidRPr="00674B66">
      <w:fldChar w:fldCharType="begin"/>
    </w:r>
    <w:r w:rsidRPr="00674B66">
      <w:instrText xml:space="preserve"> NUMPAGES </w:instrText>
    </w:r>
    <w:r w:rsidRPr="00674B66">
      <w:fldChar w:fldCharType="separate"/>
    </w:r>
    <w:r w:rsidR="006A6EC5">
      <w:rPr>
        <w:noProof/>
      </w:rPr>
      <w:t>5</w:t>
    </w:r>
    <w:r w:rsidRPr="00674B66">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3FB" w:rsidRDefault="001913FB">
    <w:pPr>
      <w:framePr w:wrap="around" w:vAnchor="text" w:hAnchor="margin" w:xAlign="center" w:y="1"/>
    </w:pPr>
    <w:r>
      <w:fldChar w:fldCharType="begin"/>
    </w:r>
    <w:r>
      <w:instrText xml:space="preserve">PAGE  </w:instrText>
    </w:r>
    <w:r>
      <w:fldChar w:fldCharType="separate"/>
    </w:r>
    <w:r>
      <w:rPr>
        <w:noProof/>
      </w:rPr>
      <w:t>1</w:t>
    </w:r>
    <w:r>
      <w:fldChar w:fldCharType="end"/>
    </w:r>
  </w:p>
  <w:p w:rsidR="001913FB" w:rsidRDefault="001913FB"/>
  <w:p w:rsidR="001913FB" w:rsidRDefault="001913F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33E" w:rsidRDefault="001B733E">
      <w:r>
        <w:separator/>
      </w:r>
    </w:p>
    <w:p w:rsidR="001B733E" w:rsidRDefault="001B733E"/>
  </w:footnote>
  <w:footnote w:type="continuationSeparator" w:id="0">
    <w:p w:rsidR="001B733E" w:rsidRDefault="001B733E">
      <w:r>
        <w:continuationSeparator/>
      </w:r>
    </w:p>
    <w:p w:rsidR="001B733E" w:rsidRDefault="001B73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3FB" w:rsidRDefault="001913FB">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3FB" w:rsidRDefault="001913FB">
    <w:pPr>
      <w:ind w:right="360"/>
    </w:pPr>
  </w:p>
  <w:p w:rsidR="001913FB" w:rsidRDefault="001913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BFF5B71"/>
    <w:multiLevelType w:val="hybridMultilevel"/>
    <w:tmpl w:val="72827B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4"/>
  </w:num>
  <w:num w:numId="4">
    <w:abstractNumId w:val="12"/>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22614"/>
    <w:rsid w:val="00033664"/>
    <w:rsid w:val="0004325A"/>
    <w:rsid w:val="00054F9D"/>
    <w:rsid w:val="00061DAE"/>
    <w:rsid w:val="0007081C"/>
    <w:rsid w:val="000A7E3A"/>
    <w:rsid w:val="000B51DE"/>
    <w:rsid w:val="000C2639"/>
    <w:rsid w:val="000C3880"/>
    <w:rsid w:val="000E4E6A"/>
    <w:rsid w:val="0010157A"/>
    <w:rsid w:val="00113786"/>
    <w:rsid w:val="001138EE"/>
    <w:rsid w:val="00125487"/>
    <w:rsid w:val="001474AD"/>
    <w:rsid w:val="00160240"/>
    <w:rsid w:val="00165AA5"/>
    <w:rsid w:val="001913FB"/>
    <w:rsid w:val="001A0F23"/>
    <w:rsid w:val="001B0589"/>
    <w:rsid w:val="001B602D"/>
    <w:rsid w:val="001B733E"/>
    <w:rsid w:val="001C65C8"/>
    <w:rsid w:val="001C7099"/>
    <w:rsid w:val="001F3325"/>
    <w:rsid w:val="001F4153"/>
    <w:rsid w:val="001F6CC1"/>
    <w:rsid w:val="00204291"/>
    <w:rsid w:val="002042D6"/>
    <w:rsid w:val="0022373B"/>
    <w:rsid w:val="00225FC5"/>
    <w:rsid w:val="00247A2D"/>
    <w:rsid w:val="0025760F"/>
    <w:rsid w:val="00257958"/>
    <w:rsid w:val="00280A6C"/>
    <w:rsid w:val="002948CC"/>
    <w:rsid w:val="002A00B7"/>
    <w:rsid w:val="002A21C2"/>
    <w:rsid w:val="002B3E29"/>
    <w:rsid w:val="002B4579"/>
    <w:rsid w:val="002B625C"/>
    <w:rsid w:val="002C3B8D"/>
    <w:rsid w:val="002C5A36"/>
    <w:rsid w:val="002C62D8"/>
    <w:rsid w:val="002F5887"/>
    <w:rsid w:val="00312191"/>
    <w:rsid w:val="00312B97"/>
    <w:rsid w:val="003251B7"/>
    <w:rsid w:val="003463FB"/>
    <w:rsid w:val="00355FAC"/>
    <w:rsid w:val="00361D31"/>
    <w:rsid w:val="003671C1"/>
    <w:rsid w:val="003C7581"/>
    <w:rsid w:val="003E7A47"/>
    <w:rsid w:val="004875CD"/>
    <w:rsid w:val="004D0F80"/>
    <w:rsid w:val="004D2A53"/>
    <w:rsid w:val="004D53DE"/>
    <w:rsid w:val="004E77C7"/>
    <w:rsid w:val="004F691F"/>
    <w:rsid w:val="00500457"/>
    <w:rsid w:val="0053196F"/>
    <w:rsid w:val="00532959"/>
    <w:rsid w:val="0054018E"/>
    <w:rsid w:val="0054520B"/>
    <w:rsid w:val="00560F4B"/>
    <w:rsid w:val="00574A4E"/>
    <w:rsid w:val="00575DEC"/>
    <w:rsid w:val="00597399"/>
    <w:rsid w:val="005B1FDF"/>
    <w:rsid w:val="005D713B"/>
    <w:rsid w:val="00603E07"/>
    <w:rsid w:val="00613FDD"/>
    <w:rsid w:val="006246EA"/>
    <w:rsid w:val="0066363A"/>
    <w:rsid w:val="00663BA6"/>
    <w:rsid w:val="00674B66"/>
    <w:rsid w:val="006829AF"/>
    <w:rsid w:val="006875B7"/>
    <w:rsid w:val="006951B8"/>
    <w:rsid w:val="006A6EC5"/>
    <w:rsid w:val="006C3FEB"/>
    <w:rsid w:val="006D46C9"/>
    <w:rsid w:val="006D663D"/>
    <w:rsid w:val="007074DA"/>
    <w:rsid w:val="0072189E"/>
    <w:rsid w:val="00735CE9"/>
    <w:rsid w:val="00740AE4"/>
    <w:rsid w:val="00744570"/>
    <w:rsid w:val="00752955"/>
    <w:rsid w:val="00757A06"/>
    <w:rsid w:val="0079634D"/>
    <w:rsid w:val="007C16AD"/>
    <w:rsid w:val="007D71A0"/>
    <w:rsid w:val="007E5CE9"/>
    <w:rsid w:val="00811B05"/>
    <w:rsid w:val="00814A7B"/>
    <w:rsid w:val="008177C2"/>
    <w:rsid w:val="00821B37"/>
    <w:rsid w:val="00821F4F"/>
    <w:rsid w:val="0083404B"/>
    <w:rsid w:val="008460BE"/>
    <w:rsid w:val="00847D4F"/>
    <w:rsid w:val="0087269B"/>
    <w:rsid w:val="00875BCA"/>
    <w:rsid w:val="008A7C1E"/>
    <w:rsid w:val="008D4935"/>
    <w:rsid w:val="008D6093"/>
    <w:rsid w:val="008F68EB"/>
    <w:rsid w:val="00902510"/>
    <w:rsid w:val="00922851"/>
    <w:rsid w:val="009306CE"/>
    <w:rsid w:val="00951B11"/>
    <w:rsid w:val="00975373"/>
    <w:rsid w:val="0097712A"/>
    <w:rsid w:val="009867AC"/>
    <w:rsid w:val="009923FF"/>
    <w:rsid w:val="009A443D"/>
    <w:rsid w:val="009A4917"/>
    <w:rsid w:val="009B44BF"/>
    <w:rsid w:val="009B5EE0"/>
    <w:rsid w:val="009C1816"/>
    <w:rsid w:val="009D13AD"/>
    <w:rsid w:val="009F4384"/>
    <w:rsid w:val="009F78D3"/>
    <w:rsid w:val="00A03F65"/>
    <w:rsid w:val="00A137E9"/>
    <w:rsid w:val="00A14F0E"/>
    <w:rsid w:val="00A2287A"/>
    <w:rsid w:val="00A3796A"/>
    <w:rsid w:val="00A5184E"/>
    <w:rsid w:val="00A53EB2"/>
    <w:rsid w:val="00A74970"/>
    <w:rsid w:val="00A81CA3"/>
    <w:rsid w:val="00A956BA"/>
    <w:rsid w:val="00AB1BDE"/>
    <w:rsid w:val="00AB5993"/>
    <w:rsid w:val="00AB63FF"/>
    <w:rsid w:val="00AE5806"/>
    <w:rsid w:val="00AE6C64"/>
    <w:rsid w:val="00AF1476"/>
    <w:rsid w:val="00B1461F"/>
    <w:rsid w:val="00B37AB5"/>
    <w:rsid w:val="00B432D9"/>
    <w:rsid w:val="00B52E05"/>
    <w:rsid w:val="00B55E8B"/>
    <w:rsid w:val="00B640D2"/>
    <w:rsid w:val="00B67430"/>
    <w:rsid w:val="00B7041D"/>
    <w:rsid w:val="00B80EDC"/>
    <w:rsid w:val="00B83BF9"/>
    <w:rsid w:val="00BA47C5"/>
    <w:rsid w:val="00BA5C17"/>
    <w:rsid w:val="00BB1C38"/>
    <w:rsid w:val="00BF4A41"/>
    <w:rsid w:val="00C01636"/>
    <w:rsid w:val="00C16E05"/>
    <w:rsid w:val="00C36140"/>
    <w:rsid w:val="00C47C52"/>
    <w:rsid w:val="00C61173"/>
    <w:rsid w:val="00C74D02"/>
    <w:rsid w:val="00C80FAB"/>
    <w:rsid w:val="00C86F95"/>
    <w:rsid w:val="00C87071"/>
    <w:rsid w:val="00C878D2"/>
    <w:rsid w:val="00C91C12"/>
    <w:rsid w:val="00C94D01"/>
    <w:rsid w:val="00CA1D18"/>
    <w:rsid w:val="00CC03DA"/>
    <w:rsid w:val="00CC16AE"/>
    <w:rsid w:val="00CD32DE"/>
    <w:rsid w:val="00CD6252"/>
    <w:rsid w:val="00CF1074"/>
    <w:rsid w:val="00D108CB"/>
    <w:rsid w:val="00D24BBE"/>
    <w:rsid w:val="00D27BE6"/>
    <w:rsid w:val="00D70793"/>
    <w:rsid w:val="00D87040"/>
    <w:rsid w:val="00D955A0"/>
    <w:rsid w:val="00DA62AE"/>
    <w:rsid w:val="00DB0401"/>
    <w:rsid w:val="00DB5AF3"/>
    <w:rsid w:val="00DB6E71"/>
    <w:rsid w:val="00DC7C11"/>
    <w:rsid w:val="00DD19CB"/>
    <w:rsid w:val="00DD7C09"/>
    <w:rsid w:val="00DF2E21"/>
    <w:rsid w:val="00DF42D8"/>
    <w:rsid w:val="00E122A9"/>
    <w:rsid w:val="00E22164"/>
    <w:rsid w:val="00E253E3"/>
    <w:rsid w:val="00E261D1"/>
    <w:rsid w:val="00E4274D"/>
    <w:rsid w:val="00E55E7F"/>
    <w:rsid w:val="00E61CD2"/>
    <w:rsid w:val="00E76CCB"/>
    <w:rsid w:val="00E87E9A"/>
    <w:rsid w:val="00E9608B"/>
    <w:rsid w:val="00EA125F"/>
    <w:rsid w:val="00EB12C8"/>
    <w:rsid w:val="00EF31AB"/>
    <w:rsid w:val="00EF3901"/>
    <w:rsid w:val="00F02D47"/>
    <w:rsid w:val="00F13C3F"/>
    <w:rsid w:val="00F314F3"/>
    <w:rsid w:val="00F465DE"/>
    <w:rsid w:val="00F5454B"/>
    <w:rsid w:val="00F652FD"/>
    <w:rsid w:val="00F802C4"/>
    <w:rsid w:val="00FA5691"/>
    <w:rsid w:val="00FB52E5"/>
    <w:rsid w:val="00FF50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B432D9"/>
    <w:pPr>
      <w:keepNext/>
      <w:spacing w:before="360"/>
      <w:outlineLvl w:val="1"/>
    </w:pPr>
    <w:rPr>
      <w:rFonts w:ascii="Arial Bold" w:hAnsi="Arial Bold"/>
      <w:b/>
      <w:sz w:val="28"/>
      <w:szCs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character" w:customStyle="1" w:styleId="Heading1Char">
    <w:name w:val="Heading 1 Char"/>
    <w:aliases w:val="Heading A Char"/>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table" w:styleId="TableGrid">
    <w:name w:val="Table Grid"/>
    <w:basedOn w:val="TableNormal"/>
    <w:rsid w:val="00707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B432D9"/>
    <w:pPr>
      <w:keepNext/>
      <w:spacing w:before="360"/>
      <w:outlineLvl w:val="1"/>
    </w:pPr>
    <w:rPr>
      <w:rFonts w:ascii="Arial Bold" w:hAnsi="Arial Bold"/>
      <w:b/>
      <w:sz w:val="28"/>
      <w:szCs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character" w:customStyle="1" w:styleId="Heading1Char">
    <w:name w:val="Heading 1 Char"/>
    <w:aliases w:val="Heading A Char"/>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table" w:styleId="TableGrid">
    <w:name w:val="Table Grid"/>
    <w:basedOn w:val="TableNormal"/>
    <w:rsid w:val="00707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Assessment Reports.dot</Template>
  <TotalTime>17</TotalTime>
  <Pages>1</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Meridie Howley</cp:lastModifiedBy>
  <cp:revision>7</cp:revision>
  <cp:lastPrinted>2015-01-06T05:25:00Z</cp:lastPrinted>
  <dcterms:created xsi:type="dcterms:W3CDTF">2016-01-19T01:01:00Z</dcterms:created>
  <dcterms:modified xsi:type="dcterms:W3CDTF">2016-03-11T05:36:00Z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A493726</vt:lpwstr>
  </property>
  <property fmtid="{D5CDD505-2E9C-101B-9397-08002B2CF9AE}" pid="3" name="Objective-Comment">
    <vt:lpwstr/>
  </property>
  <property fmtid="{D5CDD505-2E9C-101B-9397-08002B2CF9AE}" pid="4" name="Objective-CreationStamp">
    <vt:filetime>2015-12-22T04:37:38Z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2016-03-11T05:41:37Z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Agricultural and Horticultural Science Chief Assessor's Report</vt:lpwstr>
  </property>
  <property fmtid="{D5CDD505-2E9C-101B-9397-08002B2CF9AE}" pid="14" name="Objective-Version">
    <vt:lpwstr>2.8</vt:lpwstr>
  </property>
  <property fmtid="{D5CDD505-2E9C-101B-9397-08002B2CF9AE}" pid="15" name="Objective-VersionComment">
    <vt:lpwstr>Approved for upload.</vt:lpwstr>
  </property>
  <property fmtid="{D5CDD505-2E9C-101B-9397-08002B2CF9AE}" pid="16" name="Objective-VersionNumber">
    <vt:r8>12</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