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8028C9">
      <w:pPr>
        <w:pStyle w:val="FrontPageHeading"/>
      </w:pPr>
      <w:r>
        <w:t>Business and Enterprise</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420E97" w:rsidP="00A81CA3">
      <w:pPr>
        <w:pStyle w:val="Heading1"/>
      </w:pPr>
      <w:r>
        <w:lastRenderedPageBreak/>
        <w:t>Business and Enterprise</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7F6404" w:rsidRDefault="00532959" w:rsidP="0094728A">
      <w:pPr>
        <w:pStyle w:val="Heading2"/>
        <w:rPr>
          <w:rFonts w:ascii="Arial Bold" w:hAnsi="Arial Bold" w:cs="Times New Roman"/>
          <w:szCs w:val="20"/>
        </w:rPr>
      </w:pPr>
      <w:r w:rsidRPr="007F6404">
        <w:rPr>
          <w:rFonts w:ascii="Arial Bold" w:hAnsi="Arial Bold" w:cs="Times New Roman"/>
          <w:szCs w:val="20"/>
        </w:rPr>
        <w:t>Overview</w:t>
      </w:r>
    </w:p>
    <w:p w:rsidR="001A0F23" w:rsidRPr="00012027" w:rsidRDefault="001A0F23" w:rsidP="007F6404">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7F6404" w:rsidRDefault="00532959" w:rsidP="004E1F21">
      <w:pPr>
        <w:pStyle w:val="Heading2"/>
        <w:jc w:val="both"/>
        <w:rPr>
          <w:rFonts w:ascii="Arial Bold" w:hAnsi="Arial Bold" w:cs="Times New Roman"/>
          <w:szCs w:val="20"/>
        </w:rPr>
      </w:pPr>
      <w:r w:rsidRPr="007F6404">
        <w:rPr>
          <w:rFonts w:ascii="Arial Bold" w:hAnsi="Arial Bold" w:cs="Times New Roman"/>
          <w:szCs w:val="20"/>
        </w:rPr>
        <w:t>School Assessment</w:t>
      </w:r>
    </w:p>
    <w:p w:rsidR="001A0F23" w:rsidRPr="00CD32DE" w:rsidRDefault="001A0F23" w:rsidP="007F6404">
      <w:pPr>
        <w:pStyle w:val="AssessmentTypeHeading"/>
      </w:pPr>
      <w:r w:rsidRPr="00CD32DE">
        <w:t xml:space="preserve">Assessment Type 1: </w:t>
      </w:r>
      <w:r w:rsidR="008028C9">
        <w:t>Folio</w:t>
      </w:r>
    </w:p>
    <w:p w:rsidR="0094728A" w:rsidRPr="00580317" w:rsidRDefault="00285DFB" w:rsidP="007F6404">
      <w:pPr>
        <w:pStyle w:val="BodyText1"/>
        <w:rPr>
          <w:rFonts w:cs="Arial"/>
          <w:szCs w:val="22"/>
        </w:rPr>
      </w:pPr>
      <w:r w:rsidRPr="007F6404">
        <w:t>The folio is part of t</w:t>
      </w:r>
      <w:r>
        <w:t xml:space="preserve">he school assessment component. </w:t>
      </w:r>
      <w:r w:rsidR="0094728A" w:rsidRPr="007F6404">
        <w:t>The weighting of the folio is 40% for a 1</w:t>
      </w:r>
      <w:r w:rsidR="00BC2917">
        <w:t>0</w:t>
      </w:r>
      <w:r w:rsidR="0094728A" w:rsidRPr="007F6404">
        <w:t>-credit subject and 30% for a 20-credit subject. For a 10-credit subject, students undertake two or three assessments for the folio. For a 20-credit subject, students undertake four to six assessments for the folio. One assessment must come from the core topic and the remaining assessments may come from the option topic(s). For this assessment type, students provide evidence of their learning in relation to the following assessment design criteria:</w:t>
      </w:r>
    </w:p>
    <w:p w:rsidR="0094728A" w:rsidRPr="00D2676C" w:rsidRDefault="00D47814" w:rsidP="00D2676C">
      <w:pPr>
        <w:pStyle w:val="dotpoints"/>
        <w:numPr>
          <w:ilvl w:val="0"/>
          <w:numId w:val="15"/>
        </w:numPr>
        <w:tabs>
          <w:tab w:val="num" w:pos="360"/>
        </w:tabs>
        <w:ind w:left="360"/>
      </w:pPr>
      <w:r>
        <w:t>k</w:t>
      </w:r>
      <w:r w:rsidR="0094728A" w:rsidRPr="00D2676C">
        <w:t>nowledge and understanding</w:t>
      </w:r>
    </w:p>
    <w:p w:rsidR="0094728A" w:rsidRPr="00D2676C" w:rsidRDefault="00D47814" w:rsidP="00D2676C">
      <w:pPr>
        <w:pStyle w:val="dotpoints"/>
        <w:numPr>
          <w:ilvl w:val="0"/>
          <w:numId w:val="15"/>
        </w:numPr>
        <w:tabs>
          <w:tab w:val="num" w:pos="360"/>
        </w:tabs>
        <w:ind w:left="360"/>
      </w:pPr>
      <w:r>
        <w:t>a</w:t>
      </w:r>
      <w:r w:rsidR="0094728A" w:rsidRPr="00D2676C">
        <w:t>nalysis and evaluation</w:t>
      </w:r>
    </w:p>
    <w:p w:rsidR="0094728A" w:rsidRPr="00D2676C" w:rsidRDefault="00D47814" w:rsidP="00D2676C">
      <w:pPr>
        <w:pStyle w:val="dotpoints"/>
        <w:numPr>
          <w:ilvl w:val="0"/>
          <w:numId w:val="15"/>
        </w:numPr>
        <w:tabs>
          <w:tab w:val="num" w:pos="360"/>
        </w:tabs>
        <w:ind w:left="360"/>
      </w:pPr>
      <w:r>
        <w:t>c</w:t>
      </w:r>
      <w:r w:rsidR="0094728A" w:rsidRPr="00D2676C">
        <w:t>ommunication</w:t>
      </w:r>
    </w:p>
    <w:p w:rsidR="0094728A" w:rsidRPr="00D2676C" w:rsidRDefault="00D47814" w:rsidP="00D2676C">
      <w:pPr>
        <w:pStyle w:val="dotpoints"/>
        <w:numPr>
          <w:ilvl w:val="0"/>
          <w:numId w:val="15"/>
        </w:numPr>
        <w:tabs>
          <w:tab w:val="num" w:pos="360"/>
        </w:tabs>
        <w:ind w:left="360"/>
      </w:pPr>
      <w:proofErr w:type="gramStart"/>
      <w:r>
        <w:t>a</w:t>
      </w:r>
      <w:r w:rsidR="0094728A" w:rsidRPr="00D2676C">
        <w:t>pplication</w:t>
      </w:r>
      <w:proofErr w:type="gramEnd"/>
      <w:r>
        <w:t>.</w:t>
      </w:r>
      <w:r w:rsidR="0094728A" w:rsidRPr="00D2676C">
        <w:t xml:space="preserve"> </w:t>
      </w:r>
    </w:p>
    <w:p w:rsidR="007F7FE1" w:rsidRDefault="00366179" w:rsidP="007F6404">
      <w:pPr>
        <w:pStyle w:val="BodyText1"/>
      </w:pPr>
      <w:r>
        <w:t xml:space="preserve">Good task design provided </w:t>
      </w:r>
      <w:r w:rsidR="007F7FE1" w:rsidRPr="007F6404">
        <w:t>opportunities to meet the performance stand</w:t>
      </w:r>
      <w:r w:rsidR="00337E64" w:rsidRPr="007F6404">
        <w:t xml:space="preserve">ards at a higher level and </w:t>
      </w:r>
      <w:r w:rsidR="007F7FE1" w:rsidRPr="007F6404">
        <w:t xml:space="preserve">on more than one occasion. </w:t>
      </w:r>
      <w:r>
        <w:t xml:space="preserve">Such design </w:t>
      </w:r>
      <w:r w:rsidR="007F7FE1" w:rsidRPr="007F6404">
        <w:t>allowed students to show knowledge of theory, apply examples</w:t>
      </w:r>
      <w:r w:rsidR="00D47814">
        <w:t>,</w:t>
      </w:r>
      <w:r w:rsidR="007F7FE1" w:rsidRPr="007F6404">
        <w:t xml:space="preserve"> and evaluate using industry and ec</w:t>
      </w:r>
      <w:r>
        <w:t>onomic data.</w:t>
      </w:r>
    </w:p>
    <w:p w:rsidR="007F7FE1" w:rsidRPr="007F6404" w:rsidRDefault="007F7FE1" w:rsidP="007F6404">
      <w:pPr>
        <w:pStyle w:val="BodyText1"/>
      </w:pPr>
      <w:r w:rsidRPr="007F6404">
        <w:t xml:space="preserve">It was pleasing to see a </w:t>
      </w:r>
      <w:r w:rsidR="007C0BA1">
        <w:t xml:space="preserve">greater </w:t>
      </w:r>
      <w:r w:rsidRPr="007F6404">
        <w:t xml:space="preserve">variety of topics covered throughout the </w:t>
      </w:r>
      <w:r w:rsidR="00D47814">
        <w:t>f</w:t>
      </w:r>
      <w:r w:rsidRPr="007F6404">
        <w:t xml:space="preserve">olio tasks. A large number of schools completed tests which generally focus on </w:t>
      </w:r>
      <w:r w:rsidR="00D47814">
        <w:t>k</w:t>
      </w:r>
      <w:r w:rsidRPr="007F6404">
        <w:t xml:space="preserve">nowledge and </w:t>
      </w:r>
      <w:r w:rsidR="00D47814">
        <w:t>u</w:t>
      </w:r>
      <w:r w:rsidRPr="007F6404">
        <w:t>nderstanding. Teachers are encouraged to use questions that allow s</w:t>
      </w:r>
      <w:r w:rsidR="00D523C2" w:rsidRPr="007F6404">
        <w:t>tudents to analyse and evaluate. This can be achieved through the use of extended</w:t>
      </w:r>
      <w:r w:rsidR="00D47814">
        <w:t>-</w:t>
      </w:r>
      <w:r w:rsidR="00D523C2" w:rsidRPr="007F6404">
        <w:t>writing responses and allowing questions to be better linked to industry and related to the local community.</w:t>
      </w:r>
    </w:p>
    <w:p w:rsidR="00D523C2" w:rsidRPr="007F6404" w:rsidRDefault="00D523C2" w:rsidP="007F6404">
      <w:pPr>
        <w:pStyle w:val="BodyText1"/>
      </w:pPr>
      <w:r w:rsidRPr="007F6404">
        <w:t>While teachers are encouraged to a</w:t>
      </w:r>
      <w:r w:rsidR="007C0BA1">
        <w:t xml:space="preserve">ssess each </w:t>
      </w:r>
      <w:r w:rsidR="008C3D32">
        <w:t>specific feature</w:t>
      </w:r>
      <w:r w:rsidRPr="007F6404">
        <w:t xml:space="preserve"> more than once</w:t>
      </w:r>
      <w:r w:rsidR="007C0BA1">
        <w:t>,</w:t>
      </w:r>
      <w:r w:rsidRPr="007F6404">
        <w:t xml:space="preserve"> teachers should be mindful not to over</w:t>
      </w:r>
      <w:r w:rsidR="00D47814">
        <w:t>-</w:t>
      </w:r>
      <w:r w:rsidRPr="007F6404">
        <w:t xml:space="preserve">assess their students. It is not necessary to be assessing numerous </w:t>
      </w:r>
      <w:r w:rsidR="008C3D32">
        <w:t>specific features in individual tasks</w:t>
      </w:r>
      <w:r w:rsidR="00D47814">
        <w:t>,</w:t>
      </w:r>
      <w:r w:rsidRPr="007F6404">
        <w:t xml:space="preserve"> but</w:t>
      </w:r>
      <w:r w:rsidR="00D47814">
        <w:t>,</w:t>
      </w:r>
      <w:r w:rsidRPr="007F6404">
        <w:t xml:space="preserve"> rather</w:t>
      </w:r>
      <w:r w:rsidR="00D47814">
        <w:t>,</w:t>
      </w:r>
      <w:r w:rsidRPr="007F6404">
        <w:t xml:space="preserve"> carefully select</w:t>
      </w:r>
      <w:r w:rsidR="00D47814">
        <w:t>ing</w:t>
      </w:r>
      <w:r w:rsidRPr="007F6404">
        <w:t xml:space="preserve"> </w:t>
      </w:r>
      <w:r w:rsidR="008C3D32">
        <w:t>the specific features</w:t>
      </w:r>
      <w:r w:rsidRPr="007F6404">
        <w:t xml:space="preserve"> most relevant to the task.</w:t>
      </w:r>
    </w:p>
    <w:p w:rsidR="00D523C2" w:rsidRPr="007F6404" w:rsidRDefault="00D523C2" w:rsidP="007F6404">
      <w:pPr>
        <w:pStyle w:val="BodyText1"/>
      </w:pPr>
      <w:r w:rsidRPr="007F6404">
        <w:t xml:space="preserve">Many tests allocated a numerical grade to each question. Teachers are encouraged to assess directly against the performance standards and allocate </w:t>
      </w:r>
      <w:r w:rsidR="007C0BA1">
        <w:t>a</w:t>
      </w:r>
      <w:r w:rsidRPr="007F6404">
        <w:t xml:space="preserve"> corresponding </w:t>
      </w:r>
      <w:r w:rsidRPr="007F6404">
        <w:lastRenderedPageBreak/>
        <w:t xml:space="preserve">grade to each question. </w:t>
      </w:r>
      <w:r w:rsidR="007C0BA1">
        <w:t>Good task design will highlight</w:t>
      </w:r>
      <w:r w:rsidRPr="007F6404">
        <w:t xml:space="preserve"> which </w:t>
      </w:r>
      <w:r w:rsidR="00D47814">
        <w:t>a</w:t>
      </w:r>
      <w:r w:rsidRPr="007F6404">
        <w:t xml:space="preserve">ssessment </w:t>
      </w:r>
      <w:r w:rsidR="00D47814">
        <w:t>d</w:t>
      </w:r>
      <w:r w:rsidRPr="007F6404">
        <w:t xml:space="preserve">esign </w:t>
      </w:r>
      <w:r w:rsidR="00D47814">
        <w:t>c</w:t>
      </w:r>
      <w:r w:rsidRPr="007F6404">
        <w:t>riteri</w:t>
      </w:r>
      <w:r w:rsidR="00D47814">
        <w:t>on</w:t>
      </w:r>
      <w:r w:rsidRPr="007F6404">
        <w:t xml:space="preserve"> is b</w:t>
      </w:r>
      <w:r w:rsidR="007C0BA1">
        <w:t>eing assessed for each question.</w:t>
      </w:r>
    </w:p>
    <w:p w:rsidR="00E916BE" w:rsidRPr="007F6404" w:rsidRDefault="00E916BE" w:rsidP="007F6404">
      <w:pPr>
        <w:pStyle w:val="BodyText1"/>
      </w:pPr>
      <w:r w:rsidRPr="007F6404">
        <w:t xml:space="preserve">It was noted </w:t>
      </w:r>
      <w:r w:rsidR="008C3D32">
        <w:t xml:space="preserve">at moderation </w:t>
      </w:r>
      <w:r w:rsidRPr="007F6404">
        <w:t xml:space="preserve">this year that there </w:t>
      </w:r>
      <w:r w:rsidR="00413D36" w:rsidRPr="007F6404">
        <w:t>were</w:t>
      </w:r>
      <w:r w:rsidRPr="007F6404">
        <w:t xml:space="preserve"> a number of missi</w:t>
      </w:r>
      <w:r w:rsidR="007C0BA1">
        <w:t xml:space="preserve">ng tasks in student folios. Where a </w:t>
      </w:r>
      <w:r w:rsidR="0038623A">
        <w:t>task</w:t>
      </w:r>
      <w:r w:rsidR="007C0BA1">
        <w:t xml:space="preserve"> has been requested</w:t>
      </w:r>
      <w:r w:rsidR="008C3D32">
        <w:t xml:space="preserve"> for moderation</w:t>
      </w:r>
      <w:r w:rsidR="007C0BA1">
        <w:t xml:space="preserve"> and cannot be </w:t>
      </w:r>
      <w:r w:rsidR="008C3D32">
        <w:t>provided</w:t>
      </w:r>
      <w:r w:rsidR="007C0BA1">
        <w:t>, t</w:t>
      </w:r>
      <w:r w:rsidRPr="007F6404">
        <w:t xml:space="preserve">eachers </w:t>
      </w:r>
      <w:r w:rsidR="007C0BA1">
        <w:t>should complete</w:t>
      </w:r>
      <w:r w:rsidR="008C3D32">
        <w:t xml:space="preserve"> and submit</w:t>
      </w:r>
      <w:r w:rsidR="007C0BA1">
        <w:t xml:space="preserve"> a</w:t>
      </w:r>
      <w:r w:rsidRPr="007F6404">
        <w:t xml:space="preserve"> Variations </w:t>
      </w:r>
      <w:r w:rsidR="00D47814">
        <w:t>—</w:t>
      </w:r>
      <w:r w:rsidRPr="007F6404">
        <w:t xml:space="preserve"> Moderation Materials </w:t>
      </w:r>
      <w:r w:rsidR="008C3D32">
        <w:t>form with the student materials.</w:t>
      </w:r>
    </w:p>
    <w:p w:rsidR="001A0F23" w:rsidRPr="003C7581" w:rsidRDefault="001A0F23" w:rsidP="007F6404">
      <w:pPr>
        <w:pStyle w:val="AssessmentTypeHeading"/>
      </w:pPr>
      <w:r w:rsidRPr="003C7581">
        <w:t xml:space="preserve">Assessment Type 2: </w:t>
      </w:r>
      <w:r w:rsidR="008028C9">
        <w:t>Practical</w:t>
      </w:r>
    </w:p>
    <w:p w:rsidR="0094728A" w:rsidRPr="007F6404" w:rsidRDefault="00E704C7" w:rsidP="007F6404">
      <w:pPr>
        <w:pStyle w:val="BodyText1"/>
      </w:pPr>
      <w:r w:rsidRPr="007F6404">
        <w:t xml:space="preserve">The practical is part of </w:t>
      </w:r>
      <w:r>
        <w:t xml:space="preserve">the school assessment component. </w:t>
      </w:r>
      <w:r w:rsidR="0094728A" w:rsidRPr="007F6404">
        <w:t>The weighting of the practical is 30% for a 10-credit subject and 20% for a 2</w:t>
      </w:r>
      <w:r>
        <w:t>0-</w:t>
      </w:r>
      <w:r w:rsidR="0094728A" w:rsidRPr="007F6404">
        <w:t>credit subject. Students undertake one practical for a 10-credit subject and at least one practical for a 20</w:t>
      </w:r>
      <w:r w:rsidR="00D47814">
        <w:noBreakHyphen/>
      </w:r>
      <w:r w:rsidR="0094728A" w:rsidRPr="007F6404">
        <w:t>credit subject. Each practical is derived from an option topic. Students inquire, analyse, plan</w:t>
      </w:r>
      <w:r w:rsidR="00D47814">
        <w:t>,</w:t>
      </w:r>
      <w:r w:rsidR="0094728A" w:rsidRPr="007F6404">
        <w:t xml:space="preserve"> and undertake the assessment on a focus of particular interest in their selected option topic(s). For this assessment type, students provide evidence of their learning primarily in relation to the following assessment design criteria:</w:t>
      </w:r>
    </w:p>
    <w:p w:rsidR="0094728A" w:rsidRPr="00D2676C" w:rsidRDefault="00D47814" w:rsidP="00D2676C">
      <w:pPr>
        <w:pStyle w:val="dotpoints"/>
        <w:numPr>
          <w:ilvl w:val="0"/>
          <w:numId w:val="16"/>
        </w:numPr>
        <w:tabs>
          <w:tab w:val="num" w:pos="360"/>
        </w:tabs>
        <w:ind w:left="360"/>
      </w:pPr>
      <w:r>
        <w:t>k</w:t>
      </w:r>
      <w:r w:rsidR="00A031F7">
        <w:t xml:space="preserve">nowledge and </w:t>
      </w:r>
      <w:r>
        <w:t>u</w:t>
      </w:r>
      <w:r w:rsidR="0094728A" w:rsidRPr="00D2676C">
        <w:t>nderstanding</w:t>
      </w:r>
    </w:p>
    <w:p w:rsidR="0094728A" w:rsidRPr="00D2676C" w:rsidRDefault="00D47814" w:rsidP="00D2676C">
      <w:pPr>
        <w:pStyle w:val="dotpoints"/>
        <w:numPr>
          <w:ilvl w:val="0"/>
          <w:numId w:val="16"/>
        </w:numPr>
        <w:tabs>
          <w:tab w:val="num" w:pos="360"/>
        </w:tabs>
        <w:ind w:left="360"/>
      </w:pPr>
      <w:r>
        <w:t>c</w:t>
      </w:r>
      <w:r w:rsidR="0094728A" w:rsidRPr="00D2676C">
        <w:t>ommunication</w:t>
      </w:r>
    </w:p>
    <w:p w:rsidR="0094728A" w:rsidRPr="00D2676C" w:rsidRDefault="00D47814" w:rsidP="00D2676C">
      <w:pPr>
        <w:pStyle w:val="dotpoints"/>
        <w:numPr>
          <w:ilvl w:val="0"/>
          <w:numId w:val="16"/>
        </w:numPr>
        <w:tabs>
          <w:tab w:val="num" w:pos="360"/>
        </w:tabs>
        <w:ind w:left="360"/>
      </w:pPr>
      <w:proofErr w:type="gramStart"/>
      <w:r>
        <w:t>a</w:t>
      </w:r>
      <w:r w:rsidR="0094728A" w:rsidRPr="00D2676C">
        <w:t>pplication</w:t>
      </w:r>
      <w:proofErr w:type="gramEnd"/>
      <w:r>
        <w:t>.</w:t>
      </w:r>
    </w:p>
    <w:p w:rsidR="00B02285" w:rsidRDefault="00337E64" w:rsidP="007F6404">
      <w:pPr>
        <w:pStyle w:val="BodyText1"/>
      </w:pPr>
      <w:r w:rsidRPr="007F6404">
        <w:t>It was pleasing</w:t>
      </w:r>
      <w:r w:rsidR="00413D36" w:rsidRPr="007F6404">
        <w:t xml:space="preserve"> to see a number of improvements in the task design. Those tasks that allowed students to demonstrate creativity</w:t>
      </w:r>
      <w:r w:rsidR="004D55A5">
        <w:t xml:space="preserve"> or </w:t>
      </w:r>
      <w:r w:rsidR="00413D36" w:rsidRPr="007F6404">
        <w:t>originality allowed students to achieve at higher levels</w:t>
      </w:r>
      <w:r w:rsidR="00B02285">
        <w:t xml:space="preserve">. </w:t>
      </w:r>
      <w:proofErr w:type="gramStart"/>
      <w:r w:rsidR="00B02285">
        <w:t>An example of this were</w:t>
      </w:r>
      <w:proofErr w:type="gramEnd"/>
      <w:r w:rsidR="00B02285">
        <w:t xml:space="preserve"> m</w:t>
      </w:r>
      <w:r w:rsidR="00B02285" w:rsidRPr="007F6404">
        <w:t>arketing tasks that required students to develop a new product</w:t>
      </w:r>
      <w:r w:rsidR="00413D36" w:rsidRPr="007F6404">
        <w:t>.</w:t>
      </w:r>
    </w:p>
    <w:p w:rsidR="003C7BEC" w:rsidRDefault="003C7BEC" w:rsidP="007F6404">
      <w:pPr>
        <w:pStyle w:val="BodyText1"/>
      </w:pPr>
      <w:r>
        <w:t>Good</w:t>
      </w:r>
      <w:r w:rsidR="00413D36" w:rsidRPr="007F6404">
        <w:t xml:space="preserve"> task design encouraged students to relate tasks to </w:t>
      </w:r>
      <w:r>
        <w:t>business theory.</w:t>
      </w:r>
    </w:p>
    <w:p w:rsidR="00413D36" w:rsidRPr="007F6404" w:rsidRDefault="00337E64" w:rsidP="007F6404">
      <w:pPr>
        <w:pStyle w:val="BodyText1"/>
      </w:pPr>
      <w:r w:rsidRPr="007F6404">
        <w:t>Teachers should</w:t>
      </w:r>
      <w:r w:rsidR="00413D36" w:rsidRPr="007F6404">
        <w:t xml:space="preserve"> familiarise themselves with </w:t>
      </w:r>
      <w:r w:rsidR="00AF61A1">
        <w:t xml:space="preserve">any </w:t>
      </w:r>
      <w:r w:rsidRPr="007F6404">
        <w:t>word</w:t>
      </w:r>
      <w:r w:rsidR="004D55A5">
        <w:t>-</w:t>
      </w:r>
      <w:r w:rsidR="006441C7">
        <w:t>limit</w:t>
      </w:r>
      <w:r w:rsidR="00AF61A1">
        <w:t>s</w:t>
      </w:r>
      <w:r w:rsidRPr="007F6404">
        <w:t xml:space="preserve"> outlined</w:t>
      </w:r>
      <w:r w:rsidR="00413D36" w:rsidRPr="007F6404">
        <w:t xml:space="preserve"> in the </w:t>
      </w:r>
      <w:r w:rsidR="004D55A5">
        <w:t>s</w:t>
      </w:r>
      <w:r w:rsidR="00413D36" w:rsidRPr="007F6404">
        <w:t xml:space="preserve">ubject </w:t>
      </w:r>
      <w:r w:rsidR="004D55A5">
        <w:t>o</w:t>
      </w:r>
      <w:r w:rsidR="00413D36" w:rsidRPr="007F6404">
        <w:t xml:space="preserve">utline for Business and Enterprise. </w:t>
      </w:r>
      <w:r w:rsidR="00FA0EB6">
        <w:t>The</w:t>
      </w:r>
      <w:r w:rsidR="00413D36" w:rsidRPr="007F6404">
        <w:t xml:space="preserve"> </w:t>
      </w:r>
      <w:r w:rsidR="00B02285">
        <w:t>word</w:t>
      </w:r>
      <w:r w:rsidR="00FA0EB6">
        <w:t>-</w:t>
      </w:r>
      <w:r w:rsidR="00B02285">
        <w:t xml:space="preserve">limit in this assessment type </w:t>
      </w:r>
      <w:r w:rsidR="00612329">
        <w:t>(for a 20</w:t>
      </w:r>
      <w:r w:rsidR="00612329">
        <w:noBreakHyphen/>
        <w:t xml:space="preserve">credit subject) </w:t>
      </w:r>
      <w:r w:rsidR="00B02285">
        <w:t xml:space="preserve">changed </w:t>
      </w:r>
      <w:r w:rsidR="006441C7">
        <w:t xml:space="preserve">in recent years </w:t>
      </w:r>
      <w:r w:rsidR="00B02285">
        <w:t>from</w:t>
      </w:r>
      <w:r w:rsidR="00413D36" w:rsidRPr="007F6404">
        <w:t xml:space="preserve"> 1000 words to 1500 words. </w:t>
      </w:r>
    </w:p>
    <w:p w:rsidR="003C7BEC" w:rsidRDefault="003C7BEC" w:rsidP="007F6404">
      <w:pPr>
        <w:pStyle w:val="BodyText1"/>
      </w:pPr>
      <w:r>
        <w:t xml:space="preserve">When </w:t>
      </w:r>
      <w:r w:rsidR="00B02285">
        <w:t>this a</w:t>
      </w:r>
      <w:r>
        <w:t xml:space="preserve">ssessment </w:t>
      </w:r>
      <w:r w:rsidR="00B02285">
        <w:t>t</w:t>
      </w:r>
      <w:r>
        <w:t>ype</w:t>
      </w:r>
      <w:r w:rsidR="007B0542">
        <w:t xml:space="preserve"> </w:t>
      </w:r>
      <w:r>
        <w:t>is</w:t>
      </w:r>
      <w:r w:rsidR="00413D36" w:rsidRPr="007F6404">
        <w:t xml:space="preserve"> </w:t>
      </w:r>
      <w:r>
        <w:t>completed in groups, t</w:t>
      </w:r>
      <w:r w:rsidR="00413D36" w:rsidRPr="007F6404">
        <w:t xml:space="preserve">eachers and students are encouraged to clearly identify which student completed </w:t>
      </w:r>
      <w:r w:rsidR="004D55A5">
        <w:t>which</w:t>
      </w:r>
      <w:r w:rsidR="00413D36" w:rsidRPr="007F6404">
        <w:t xml:space="preserve"> component/s</w:t>
      </w:r>
      <w:r w:rsidR="004D55A5">
        <w:t>,</w:t>
      </w:r>
      <w:r w:rsidR="00413D36" w:rsidRPr="007F6404">
        <w:t xml:space="preserve"> and </w:t>
      </w:r>
      <w:r w:rsidR="004D55A5">
        <w:t xml:space="preserve">teachers need to </w:t>
      </w:r>
      <w:r w:rsidR="00413D36" w:rsidRPr="007F6404">
        <w:t xml:space="preserve">award grades appropriately to each student. </w:t>
      </w:r>
    </w:p>
    <w:p w:rsidR="00413D36" w:rsidRPr="007F6404" w:rsidRDefault="00413D36" w:rsidP="007F6404">
      <w:pPr>
        <w:pStyle w:val="BodyText1"/>
      </w:pPr>
      <w:r w:rsidRPr="007F6404">
        <w:t xml:space="preserve">All evidence needs to be clearly provided for each student, with </w:t>
      </w:r>
      <w:r w:rsidR="00B02285">
        <w:t>individual</w:t>
      </w:r>
      <w:r w:rsidRPr="007F6404">
        <w:t xml:space="preserve"> students handing up their own work rather than a group package. Those tasks that require students to undertake oral presentations </w:t>
      </w:r>
      <w:r w:rsidR="008C4944" w:rsidRPr="007F6404">
        <w:t xml:space="preserve">need to be accurately captured. Evidence needs to be produced and the focus is on content rather than presentation. Students and teachers are advised to submit all multimodal </w:t>
      </w:r>
      <w:r w:rsidR="00961C54">
        <w:t>responses</w:t>
      </w:r>
      <w:r w:rsidR="008C4944" w:rsidRPr="007F6404">
        <w:t xml:space="preserve"> in a format that is accessible </w:t>
      </w:r>
      <w:r w:rsidR="008C3D32">
        <w:t xml:space="preserve">at moderation. The Submission of </w:t>
      </w:r>
      <w:proofErr w:type="spellStart"/>
      <w:r w:rsidR="008C3D32">
        <w:t>Elecronic</w:t>
      </w:r>
      <w:proofErr w:type="spellEnd"/>
      <w:r w:rsidR="008C3D32">
        <w:t xml:space="preserve"> Files document provides students and teachers with further information about acceptable formats.</w:t>
      </w:r>
      <w:bookmarkStart w:id="0" w:name="_GoBack"/>
      <w:bookmarkEnd w:id="0"/>
    </w:p>
    <w:p w:rsidR="001A0F23" w:rsidRPr="00D108CB" w:rsidRDefault="001A0F23" w:rsidP="007F6404">
      <w:pPr>
        <w:pStyle w:val="AssessmentTypeHeading"/>
      </w:pPr>
      <w:r w:rsidRPr="00D108CB">
        <w:t>Assessment Type 3:</w:t>
      </w:r>
      <w:r w:rsidRPr="00F02D47">
        <w:t xml:space="preserve"> </w:t>
      </w:r>
      <w:r w:rsidR="008028C9">
        <w:t>Issues Study</w:t>
      </w:r>
    </w:p>
    <w:p w:rsidR="0094728A" w:rsidRPr="007F6404" w:rsidRDefault="00A33FA7" w:rsidP="007F6404">
      <w:pPr>
        <w:pStyle w:val="BodyText1"/>
      </w:pPr>
      <w:r w:rsidRPr="007F6404">
        <w:t xml:space="preserve">The issues study is the external assessment component for a 10-credit subject. It is part of the school assessment component for a 20-credit subject. </w:t>
      </w:r>
      <w:r w:rsidR="0094728A" w:rsidRPr="007F6404">
        <w:t xml:space="preserve">The issues study is weighted at 30% for a 10-credit subject; the weighting for a 20-credit subject is 20%. </w:t>
      </w:r>
      <w:r>
        <w:t>S</w:t>
      </w:r>
      <w:r w:rsidR="0094728A" w:rsidRPr="007F6404">
        <w:t xml:space="preserve">tudents undertake one issues study in which they identify and investigate a theme, development, or current issue in business and enterprise. The issues study should be </w:t>
      </w:r>
      <w:r w:rsidR="00AF61A1">
        <w:t xml:space="preserve">a </w:t>
      </w:r>
      <w:r w:rsidR="0094728A" w:rsidRPr="007F6404">
        <w:t>clear, concise</w:t>
      </w:r>
      <w:r w:rsidR="004D55A5">
        <w:t>,</w:t>
      </w:r>
      <w:r w:rsidR="0094728A" w:rsidRPr="007F6404">
        <w:t xml:space="preserve"> and polished piece of writing </w:t>
      </w:r>
      <w:r w:rsidR="004D55A5">
        <w:t>of</w:t>
      </w:r>
      <w:r w:rsidR="0094728A" w:rsidRPr="007F6404">
        <w:t xml:space="preserve"> a maximum of 1000 words for a 10-credit subject, and of a maximum of 1500 words for a 20-credit subject. For this </w:t>
      </w:r>
      <w:r w:rsidR="0094728A" w:rsidRPr="007F6404">
        <w:lastRenderedPageBreak/>
        <w:t>assessment type, students provide evidence of their learning primarily in relation to the following assessment design criteria:</w:t>
      </w:r>
    </w:p>
    <w:p w:rsidR="0094728A" w:rsidRPr="00D2676C" w:rsidRDefault="004D55A5" w:rsidP="00D2676C">
      <w:pPr>
        <w:pStyle w:val="dotpoints"/>
        <w:numPr>
          <w:ilvl w:val="0"/>
          <w:numId w:val="17"/>
        </w:numPr>
        <w:tabs>
          <w:tab w:val="num" w:pos="360"/>
        </w:tabs>
        <w:ind w:left="360"/>
      </w:pPr>
      <w:r>
        <w:t>k</w:t>
      </w:r>
      <w:r w:rsidR="0094728A" w:rsidRPr="00D2676C">
        <w:t>nowledge and understanding</w:t>
      </w:r>
    </w:p>
    <w:p w:rsidR="0094728A" w:rsidRPr="00D2676C" w:rsidRDefault="004D55A5" w:rsidP="00D2676C">
      <w:pPr>
        <w:pStyle w:val="dotpoints"/>
        <w:numPr>
          <w:ilvl w:val="0"/>
          <w:numId w:val="17"/>
        </w:numPr>
        <w:tabs>
          <w:tab w:val="num" w:pos="360"/>
        </w:tabs>
        <w:ind w:left="360"/>
      </w:pPr>
      <w:r>
        <w:t>a</w:t>
      </w:r>
      <w:r w:rsidR="0094728A" w:rsidRPr="00D2676C">
        <w:t>nalysis and evaluation</w:t>
      </w:r>
    </w:p>
    <w:p w:rsidR="00450A1A" w:rsidRPr="00D2676C" w:rsidRDefault="004D55A5" w:rsidP="00D2676C">
      <w:pPr>
        <w:pStyle w:val="dotpoints"/>
        <w:numPr>
          <w:ilvl w:val="0"/>
          <w:numId w:val="17"/>
        </w:numPr>
        <w:tabs>
          <w:tab w:val="num" w:pos="360"/>
        </w:tabs>
        <w:ind w:left="360"/>
      </w:pPr>
      <w:proofErr w:type="gramStart"/>
      <w:r>
        <w:t>c</w:t>
      </w:r>
      <w:r w:rsidR="0094728A" w:rsidRPr="00D2676C">
        <w:t>ommunication</w:t>
      </w:r>
      <w:proofErr w:type="gramEnd"/>
      <w:r>
        <w:t>.</w:t>
      </w:r>
    </w:p>
    <w:p w:rsidR="00477B74" w:rsidRDefault="00A33FA7" w:rsidP="007F6404">
      <w:pPr>
        <w:pStyle w:val="BodyText1"/>
      </w:pPr>
      <w:r>
        <w:t>Goo</w:t>
      </w:r>
      <w:r w:rsidR="00477B74">
        <w:t>d</w:t>
      </w:r>
      <w:r>
        <w:t xml:space="preserve"> task design</w:t>
      </w:r>
      <w:r w:rsidR="008C4944" w:rsidRPr="007F6404">
        <w:t xml:space="preserve"> allowed students to select an issue of choice. </w:t>
      </w:r>
      <w:r w:rsidR="00477B74">
        <w:t>Such design</w:t>
      </w:r>
      <w:r w:rsidR="008C4944" w:rsidRPr="007F6404">
        <w:t xml:space="preserve"> generally </w:t>
      </w:r>
      <w:r w:rsidR="00477B74">
        <w:t>led students</w:t>
      </w:r>
      <w:r w:rsidR="008C4944" w:rsidRPr="007F6404">
        <w:t xml:space="preserve"> </w:t>
      </w:r>
      <w:r w:rsidR="00477B74">
        <w:t xml:space="preserve">to deeper </w:t>
      </w:r>
      <w:r w:rsidR="008C4944" w:rsidRPr="007F6404">
        <w:t>analysis and evaluation. Topic</w:t>
      </w:r>
      <w:r w:rsidR="00477B74">
        <w:t>s that directly related to the students</w:t>
      </w:r>
      <w:r w:rsidR="004D55A5">
        <w:t>’</w:t>
      </w:r>
      <w:r w:rsidR="00477B74">
        <w:t xml:space="preserve"> local environments and were </w:t>
      </w:r>
      <w:r w:rsidR="008C4944" w:rsidRPr="007F6404">
        <w:t xml:space="preserve">current and relevant to Australian businesses were more successfully completed. </w:t>
      </w:r>
    </w:p>
    <w:p w:rsidR="008C4944" w:rsidRPr="007F6404" w:rsidRDefault="00477B74" w:rsidP="007F6404">
      <w:pPr>
        <w:pStyle w:val="BodyText1"/>
      </w:pPr>
      <w:r>
        <w:t>Students</w:t>
      </w:r>
      <w:r w:rsidR="008C4944" w:rsidRPr="007F6404">
        <w:t xml:space="preserve"> who accessed a wide range of resources </w:t>
      </w:r>
      <w:r>
        <w:t>also tended to analyse and evaluate</w:t>
      </w:r>
      <w:r w:rsidR="008C4944" w:rsidRPr="007F6404">
        <w:t xml:space="preserve"> to a higher level.</w:t>
      </w:r>
    </w:p>
    <w:p w:rsidR="00477B74" w:rsidRDefault="00337E64" w:rsidP="007F6404">
      <w:pPr>
        <w:pStyle w:val="BodyText1"/>
      </w:pPr>
      <w:r w:rsidRPr="007F6404">
        <w:t xml:space="preserve">Students should </w:t>
      </w:r>
      <w:r w:rsidR="004E1F21" w:rsidRPr="007F6404">
        <w:t>clearly outline their issu</w:t>
      </w:r>
      <w:r w:rsidRPr="007F6404">
        <w:t>e and te</w:t>
      </w:r>
      <w:r w:rsidR="004E1F21" w:rsidRPr="007F6404">
        <w:t>achers are encouraged to guide students to identify not just a topic but an issue affecting that topic</w:t>
      </w:r>
      <w:r w:rsidR="004D55A5">
        <w:t>. S</w:t>
      </w:r>
      <w:r w:rsidR="004E1F21" w:rsidRPr="007F6404">
        <w:t xml:space="preserve">tudents </w:t>
      </w:r>
      <w:r w:rsidR="00477B74">
        <w:t xml:space="preserve">then </w:t>
      </w:r>
      <w:r w:rsidR="004E1F21" w:rsidRPr="007F6404">
        <w:t>create a guiding question/hypothesis.</w:t>
      </w:r>
    </w:p>
    <w:p w:rsidR="001A0F23" w:rsidRPr="00477B74" w:rsidRDefault="00532959" w:rsidP="00477B74">
      <w:pPr>
        <w:pStyle w:val="AssessmentTypeHeading"/>
        <w:rPr>
          <w:rFonts w:ascii="Arial" w:hAnsi="Arial"/>
        </w:rPr>
      </w:pPr>
      <w:r w:rsidRPr="00D2676C">
        <w:t>External Assessment</w:t>
      </w:r>
    </w:p>
    <w:p w:rsidR="007B0542" w:rsidRDefault="001A0F23" w:rsidP="001A0F23">
      <w:pPr>
        <w:pStyle w:val="AssessmentTypeHeading"/>
      </w:pPr>
      <w:r w:rsidRPr="00D108CB">
        <w:t xml:space="preserve">Assessment Type 4: </w:t>
      </w:r>
      <w:r w:rsidR="007B0542">
        <w:t>Report</w:t>
      </w:r>
    </w:p>
    <w:p w:rsidR="00177B48" w:rsidRDefault="007B0542">
      <w:pPr>
        <w:pStyle w:val="BodyText1"/>
      </w:pPr>
      <w:r>
        <w:t xml:space="preserve">The report is an assessment type for the 20-credit subject only. </w:t>
      </w:r>
      <w:r w:rsidRPr="00B953E9">
        <w:t>Students are required to write one formal business report that may be either a situation analysis or an enterprise report.</w:t>
      </w:r>
    </w:p>
    <w:p w:rsidR="001A0F23" w:rsidRPr="007B0542" w:rsidRDefault="00E74064" w:rsidP="001A0F23">
      <w:pPr>
        <w:pStyle w:val="AssessmentTypeHeading"/>
        <w:rPr>
          <w:rFonts w:ascii="Arial" w:hAnsi="Arial"/>
          <w:sz w:val="24"/>
          <w:szCs w:val="24"/>
        </w:rPr>
      </w:pPr>
      <w:r w:rsidRPr="00E74064">
        <w:rPr>
          <w:rFonts w:ascii="Arial" w:hAnsi="Arial"/>
          <w:sz w:val="24"/>
          <w:szCs w:val="24"/>
        </w:rPr>
        <w:t>Situation Analysis</w:t>
      </w:r>
    </w:p>
    <w:p w:rsidR="00C25DD5" w:rsidRDefault="00C25DD5" w:rsidP="00F847ED">
      <w:pPr>
        <w:pStyle w:val="BodyText1"/>
      </w:pPr>
      <w:r w:rsidRPr="007F6404">
        <w:t xml:space="preserve">It is important that students choose </w:t>
      </w:r>
      <w:r w:rsidR="004D55A5">
        <w:t>s</w:t>
      </w:r>
      <w:r w:rsidRPr="007F6404">
        <w:t xml:space="preserve">mall to </w:t>
      </w:r>
      <w:r w:rsidR="004D55A5">
        <w:t>m</w:t>
      </w:r>
      <w:r w:rsidRPr="007F6404">
        <w:t>edium</w:t>
      </w:r>
      <w:r w:rsidR="004D55A5">
        <w:t>-</w:t>
      </w:r>
      <w:r w:rsidRPr="007F6404">
        <w:t xml:space="preserve">sized enterprises to conduct their </w:t>
      </w:r>
      <w:r w:rsidR="004D55A5">
        <w:t>s</w:t>
      </w:r>
      <w:r w:rsidRPr="007F6404">
        <w:t xml:space="preserve">ituation </w:t>
      </w:r>
      <w:r w:rsidR="004D55A5">
        <w:t>a</w:t>
      </w:r>
      <w:r w:rsidRPr="007F6404">
        <w:t xml:space="preserve">nalysis, as </w:t>
      </w:r>
      <w:r w:rsidR="004D55A5">
        <w:t>stated in</w:t>
      </w:r>
      <w:r w:rsidRPr="007F6404">
        <w:t xml:space="preserve"> the subject outline. </w:t>
      </w:r>
      <w:proofErr w:type="gramStart"/>
      <w:r w:rsidRPr="007F6404">
        <w:t>Businesses that are outside the scope of the subject</w:t>
      </w:r>
      <w:r w:rsidR="004D55A5">
        <w:t>,</w:t>
      </w:r>
      <w:r w:rsidRPr="007F6404">
        <w:t xml:space="preserve"> such as public companies or micro businesses</w:t>
      </w:r>
      <w:r w:rsidR="004D55A5">
        <w:t>,</w:t>
      </w:r>
      <w:r w:rsidRPr="007F6404">
        <w:t xml:space="preserve"> significantly disadvantage students in achieving the performance standards.</w:t>
      </w:r>
      <w:proofErr w:type="gramEnd"/>
    </w:p>
    <w:p w:rsidR="00C25DD5" w:rsidRPr="0012728F" w:rsidRDefault="00C25DD5" w:rsidP="00C25DD5">
      <w:pPr>
        <w:pStyle w:val="BodyText1"/>
      </w:pPr>
      <w:proofErr w:type="gramStart"/>
      <w:r>
        <w:t>R</w:t>
      </w:r>
      <w:r w:rsidRPr="0012728F">
        <w:t xml:space="preserve">eports that performed well </w:t>
      </w:r>
      <w:r>
        <w:t xml:space="preserve">in </w:t>
      </w:r>
      <w:r w:rsidR="006C0388">
        <w:t>k</w:t>
      </w:r>
      <w:r w:rsidRPr="00C25DD5">
        <w:t xml:space="preserve">nowledge and </w:t>
      </w:r>
      <w:r w:rsidR="006C0388">
        <w:t>u</w:t>
      </w:r>
      <w:r w:rsidRPr="00C25DD5">
        <w:t>nderstanding applied</w:t>
      </w:r>
      <w:r w:rsidRPr="0012728F">
        <w:t xml:space="preserve"> current business theory to the business, </w:t>
      </w:r>
      <w:r>
        <w:t>and considered</w:t>
      </w:r>
      <w:r w:rsidRPr="0012728F">
        <w:t xml:space="preserve"> impacts on the business and stakeholders.</w:t>
      </w:r>
      <w:proofErr w:type="gramEnd"/>
      <w:r w:rsidR="007B0542">
        <w:t xml:space="preserve"> </w:t>
      </w:r>
      <w:r w:rsidRPr="0012728F">
        <w:t>These reports steered away from giving definitions of concepts, but integrated the concepts seamlessly through application to the business, indicating a comprehensive level o</w:t>
      </w:r>
      <w:r>
        <w:t>f knowledge and understanding.</w:t>
      </w:r>
    </w:p>
    <w:p w:rsidR="00C25DD5" w:rsidRPr="007F6404" w:rsidRDefault="006C0388" w:rsidP="00C25DD5">
      <w:pPr>
        <w:pStyle w:val="BodyText1"/>
      </w:pPr>
      <w:r>
        <w:t xml:space="preserve">The specific feature </w:t>
      </w:r>
      <w:r w:rsidR="00C25DD5" w:rsidRPr="007F6404">
        <w:t>KU2 appears to be an area that can be emphasised. Many reports addressed the ownership structure of the business</w:t>
      </w:r>
      <w:r>
        <w:t>;</w:t>
      </w:r>
      <w:r w:rsidR="00C25DD5" w:rsidRPr="007F6404">
        <w:t xml:space="preserve"> however</w:t>
      </w:r>
      <w:r>
        <w:t>,</w:t>
      </w:r>
      <w:r w:rsidR="00C25DD5" w:rsidRPr="007F6404">
        <w:t xml:space="preserve"> many of these reports did not address any other forms of business structures. Reports that performed strongly in this criterion incorporated reference to multiple business structures including organisational, HR, decision-making, management, motivational frameworks</w:t>
      </w:r>
      <w:r>
        <w:t>,</w:t>
      </w:r>
      <w:r w:rsidR="00C25DD5" w:rsidRPr="007F6404">
        <w:t xml:space="preserve"> and financial structures with a high degree of depth and relevance to the business.</w:t>
      </w:r>
    </w:p>
    <w:p w:rsidR="00C25DD5" w:rsidRPr="0012728F" w:rsidRDefault="00C25DD5" w:rsidP="00C25DD5">
      <w:pPr>
        <w:pStyle w:val="BodyText1"/>
      </w:pPr>
      <w:r>
        <w:t>Reports that performed well in</w:t>
      </w:r>
      <w:r w:rsidRPr="0012728F">
        <w:t xml:space="preserve"> </w:t>
      </w:r>
      <w:r w:rsidR="006C0388" w:rsidRPr="006C0388">
        <w:t>a</w:t>
      </w:r>
      <w:r w:rsidR="00E74064" w:rsidRPr="00E74064">
        <w:t>nalysis and evaluation</w:t>
      </w:r>
      <w:r>
        <w:t xml:space="preserve"> </w:t>
      </w:r>
      <w:r w:rsidRPr="0012728F">
        <w:t>integrated current issues and trends using industry statistics that had direct impact on the busin</w:t>
      </w:r>
      <w:r>
        <w:t>ess.</w:t>
      </w:r>
      <w:r w:rsidR="007B0542">
        <w:t xml:space="preserve"> </w:t>
      </w:r>
      <w:r>
        <w:t xml:space="preserve">Some common issues reported in the </w:t>
      </w:r>
      <w:r w:rsidR="006C0388">
        <w:t>s</w:t>
      </w:r>
      <w:r>
        <w:t xml:space="preserve">ituation </w:t>
      </w:r>
      <w:r w:rsidR="006C0388">
        <w:t>a</w:t>
      </w:r>
      <w:r>
        <w:t>nalysis</w:t>
      </w:r>
      <w:r w:rsidRPr="0012728F">
        <w:t xml:space="preserve"> included the global economic downturn, the decreasing value of the $A, the downturn in retail</w:t>
      </w:r>
      <w:r w:rsidR="006C0388">
        <w:t>,</w:t>
      </w:r>
      <w:r w:rsidRPr="0012728F">
        <w:t xml:space="preserve"> and low interest rates.</w:t>
      </w:r>
      <w:r w:rsidR="007B0542">
        <w:t xml:space="preserve"> </w:t>
      </w:r>
      <w:r w:rsidRPr="0012728F">
        <w:t xml:space="preserve">Students </w:t>
      </w:r>
      <w:r w:rsidRPr="0012728F">
        <w:lastRenderedPageBreak/>
        <w:t xml:space="preserve">who performed </w:t>
      </w:r>
      <w:r>
        <w:t>well</w:t>
      </w:r>
      <w:r w:rsidRPr="0012728F">
        <w:t xml:space="preserve"> were able to make recommendations for the bus</w:t>
      </w:r>
      <w:r>
        <w:t>iness related to these issues.</w:t>
      </w:r>
    </w:p>
    <w:p w:rsidR="00C25DD5" w:rsidRPr="0012728F" w:rsidRDefault="00C25DD5" w:rsidP="00C25DD5">
      <w:pPr>
        <w:pStyle w:val="BodyText1"/>
      </w:pPr>
      <w:r w:rsidRPr="0012728F">
        <w:t>Stronger reports were able to integrate figures effectively to concisely convey information.</w:t>
      </w:r>
      <w:r w:rsidR="007B0542">
        <w:t xml:space="preserve"> </w:t>
      </w:r>
      <w:r w:rsidRPr="0012728F">
        <w:t>These reports tended to have a high sentence density appropriate to the audience.</w:t>
      </w:r>
      <w:r w:rsidR="007B0542">
        <w:t xml:space="preserve"> </w:t>
      </w:r>
      <w:r w:rsidRPr="0012728F">
        <w:t>Poorer reports tended to use more emotive language and often lacked reference to graphs, charts</w:t>
      </w:r>
      <w:r w:rsidR="006C0388">
        <w:t>,</w:t>
      </w:r>
      <w:r w:rsidRPr="0012728F">
        <w:t xml:space="preserve"> </w:t>
      </w:r>
      <w:r w:rsidR="006C0388">
        <w:t>or</w:t>
      </w:r>
      <w:r w:rsidRPr="0012728F">
        <w:t xml:space="preserve"> tables.</w:t>
      </w:r>
      <w:r w:rsidR="007B0542">
        <w:t xml:space="preserve"> </w:t>
      </w:r>
      <w:r w:rsidRPr="0012728F">
        <w:t>Referencing was improved from previous years.</w:t>
      </w:r>
    </w:p>
    <w:p w:rsidR="00C25DD5" w:rsidRDefault="00C25DD5" w:rsidP="00C25DD5">
      <w:pPr>
        <w:pStyle w:val="BodyText1"/>
      </w:pPr>
      <w:r w:rsidRPr="0012728F">
        <w:t xml:space="preserve">Students who performed highly </w:t>
      </w:r>
      <w:r>
        <w:t xml:space="preserve">in </w:t>
      </w:r>
      <w:r w:rsidR="006C0388" w:rsidRPr="006C0388">
        <w:t>a</w:t>
      </w:r>
      <w:r w:rsidR="00E74064" w:rsidRPr="00E74064">
        <w:t>pplication</w:t>
      </w:r>
      <w:r w:rsidRPr="0012728F">
        <w:t xml:space="preserve"> were able to apply business theory directly to the business in the form of recommendations</w:t>
      </w:r>
      <w:r w:rsidR="006C0388">
        <w:t>,</w:t>
      </w:r>
      <w:r w:rsidRPr="0012728F">
        <w:t xml:space="preserve"> as well as apply their knowledge and understanding about current issues and trends affecting the business.</w:t>
      </w:r>
      <w:r w:rsidR="007B0542">
        <w:t xml:space="preserve"> </w:t>
      </w:r>
      <w:r w:rsidRPr="0012728F">
        <w:t>These reports often had a wide range of relevant sources including both primary and secondary.</w:t>
      </w:r>
      <w:r w:rsidR="007B0542">
        <w:t xml:space="preserve"> </w:t>
      </w:r>
      <w:r w:rsidRPr="0012728F">
        <w:t xml:space="preserve">Reports that did not perform highly </w:t>
      </w:r>
      <w:r w:rsidR="006C0388">
        <w:t>against</w:t>
      </w:r>
      <w:r w:rsidRPr="0012728F">
        <w:t xml:space="preserve"> this criterion had few references and often only one primary source which may have been accessed on several occasions.</w:t>
      </w:r>
    </w:p>
    <w:p w:rsidR="00F847ED" w:rsidRPr="007F6404" w:rsidRDefault="00F847ED" w:rsidP="00F847ED">
      <w:pPr>
        <w:pStyle w:val="BodyText1"/>
      </w:pPr>
      <w:r w:rsidRPr="007F6404">
        <w:t>The word</w:t>
      </w:r>
      <w:r w:rsidR="006C0388">
        <w:t>-</w:t>
      </w:r>
      <w:r w:rsidRPr="007F6404">
        <w:t xml:space="preserve">count continues to be an issue in this </w:t>
      </w:r>
      <w:r w:rsidR="006C0388">
        <w:t>a</w:t>
      </w:r>
      <w:r w:rsidRPr="007F6404">
        <w:t xml:space="preserve">ssessment </w:t>
      </w:r>
      <w:r w:rsidR="006C0388">
        <w:t>t</w:t>
      </w:r>
      <w:r w:rsidRPr="007F6404">
        <w:t>ype</w:t>
      </w:r>
      <w:r w:rsidR="00612329">
        <w:t>,</w:t>
      </w:r>
      <w:r w:rsidRPr="007F6404">
        <w:t xml:space="preserve"> with many reports significantly in excess of the required word</w:t>
      </w:r>
      <w:r w:rsidR="006C0388">
        <w:t>-</w:t>
      </w:r>
      <w:r w:rsidRPr="007F6404">
        <w:t>limit.</w:t>
      </w:r>
      <w:r w:rsidR="007B0542">
        <w:t xml:space="preserve"> </w:t>
      </w:r>
      <w:r w:rsidRPr="007F6404">
        <w:t>It is imperative that teachers and students are familiar with the SACE word</w:t>
      </w:r>
      <w:r w:rsidR="006C0388">
        <w:t>-</w:t>
      </w:r>
      <w:r w:rsidRPr="007F6404">
        <w:t xml:space="preserve">count policy and should consult the policy and the illustrative example on the Business </w:t>
      </w:r>
      <w:r w:rsidR="006C0388">
        <w:t>and</w:t>
      </w:r>
      <w:r w:rsidRPr="007F6404">
        <w:t xml:space="preserve"> Enterprise mini-site.</w:t>
      </w:r>
    </w:p>
    <w:p w:rsidR="00F847ED" w:rsidRPr="007F6404" w:rsidRDefault="00F847ED" w:rsidP="00F847ED">
      <w:pPr>
        <w:pStyle w:val="BodyText1"/>
      </w:pPr>
      <w:r w:rsidRPr="007F6404">
        <w:t>In ensuring word</w:t>
      </w:r>
      <w:r w:rsidR="006C0388">
        <w:t>-</w:t>
      </w:r>
      <w:r w:rsidRPr="007F6404">
        <w:t>count adherence, some students gave a running/cumulative word count in the footer of their reports.</w:t>
      </w:r>
    </w:p>
    <w:p w:rsidR="00F847ED" w:rsidRPr="007F6404" w:rsidRDefault="00F847ED" w:rsidP="00F847ED">
      <w:pPr>
        <w:pStyle w:val="BodyText1"/>
      </w:pPr>
      <w:r w:rsidRPr="007F6404">
        <w:t>Teachers are reminded about the following:</w:t>
      </w:r>
    </w:p>
    <w:p w:rsidR="00F847ED" w:rsidRPr="00D2676C" w:rsidRDefault="00F847ED" w:rsidP="00F847ED">
      <w:pPr>
        <w:pStyle w:val="dotpoints"/>
        <w:numPr>
          <w:ilvl w:val="0"/>
          <w:numId w:val="18"/>
        </w:numPr>
        <w:tabs>
          <w:tab w:val="num" w:pos="360"/>
        </w:tabs>
        <w:ind w:left="360"/>
      </w:pPr>
      <w:proofErr w:type="gramStart"/>
      <w:r>
        <w:t>r</w:t>
      </w:r>
      <w:r w:rsidRPr="00D2676C">
        <w:t>eports</w:t>
      </w:r>
      <w:proofErr w:type="gramEnd"/>
      <w:r w:rsidRPr="00D2676C">
        <w:t xml:space="preserve"> are not marked beyond the 2000</w:t>
      </w:r>
      <w:r w:rsidR="006C0388">
        <w:t>-</w:t>
      </w:r>
      <w:r w:rsidRPr="00D2676C">
        <w:t>word limit.</w:t>
      </w:r>
    </w:p>
    <w:p w:rsidR="00F847ED" w:rsidRPr="00D2676C" w:rsidRDefault="00F847ED" w:rsidP="00F847ED">
      <w:pPr>
        <w:pStyle w:val="dotpoints"/>
        <w:numPr>
          <w:ilvl w:val="0"/>
          <w:numId w:val="18"/>
        </w:numPr>
        <w:tabs>
          <w:tab w:val="num" w:pos="360"/>
        </w:tabs>
        <w:ind w:left="360"/>
      </w:pPr>
      <w:r>
        <w:t>s</w:t>
      </w:r>
      <w:r w:rsidRPr="00D2676C">
        <w:t>tudent work submitted for external marking should have all teacher comments and assessment decisions removed prior to submission</w:t>
      </w:r>
    </w:p>
    <w:p w:rsidR="00F847ED" w:rsidRPr="00D2676C" w:rsidRDefault="00F847ED" w:rsidP="00F847ED">
      <w:pPr>
        <w:pStyle w:val="dotpoints"/>
        <w:numPr>
          <w:ilvl w:val="0"/>
          <w:numId w:val="18"/>
        </w:numPr>
        <w:tabs>
          <w:tab w:val="num" w:pos="360"/>
        </w:tabs>
        <w:ind w:left="360"/>
      </w:pPr>
      <w:r>
        <w:t>a</w:t>
      </w:r>
      <w:r w:rsidRPr="00D2676C">
        <w:t>ll reports should be de-identified</w:t>
      </w:r>
    </w:p>
    <w:p w:rsidR="00F847ED" w:rsidRPr="00D2676C" w:rsidRDefault="00F847ED" w:rsidP="00F847ED">
      <w:pPr>
        <w:pStyle w:val="dotpoints"/>
        <w:numPr>
          <w:ilvl w:val="0"/>
          <w:numId w:val="18"/>
        </w:numPr>
        <w:tabs>
          <w:tab w:val="num" w:pos="360"/>
        </w:tabs>
        <w:ind w:left="360"/>
      </w:pPr>
      <w:r>
        <w:t>t</w:t>
      </w:r>
      <w:r w:rsidRPr="00D2676C">
        <w:t xml:space="preserve">he current </w:t>
      </w:r>
      <w:r w:rsidR="006C0388">
        <w:t>s</w:t>
      </w:r>
      <w:r w:rsidRPr="00D2676C">
        <w:t xml:space="preserve">ubject </w:t>
      </w:r>
      <w:r w:rsidR="006C0388">
        <w:t>o</w:t>
      </w:r>
      <w:r w:rsidRPr="00D2676C">
        <w:t>utline must be used</w:t>
      </w:r>
    </w:p>
    <w:p w:rsidR="00F847ED" w:rsidRPr="0012728F" w:rsidRDefault="00F847ED" w:rsidP="00C25DD5">
      <w:pPr>
        <w:pStyle w:val="dotpoints"/>
        <w:numPr>
          <w:ilvl w:val="0"/>
          <w:numId w:val="18"/>
        </w:numPr>
        <w:tabs>
          <w:tab w:val="num" w:pos="360"/>
        </w:tabs>
        <w:ind w:left="360"/>
      </w:pPr>
      <w:proofErr w:type="gramStart"/>
      <w:r>
        <w:t>a</w:t>
      </w:r>
      <w:r w:rsidRPr="00D2676C">
        <w:t>ppendices</w:t>
      </w:r>
      <w:proofErr w:type="gramEnd"/>
      <w:r w:rsidRPr="00D2676C">
        <w:t xml:space="preserve"> should be brief</w:t>
      </w:r>
      <w:r w:rsidR="006C0388">
        <w:t>,</w:t>
      </w:r>
      <w:r w:rsidRPr="00D2676C">
        <w:t xml:space="preserve"> as per the </w:t>
      </w:r>
      <w:r w:rsidR="006C0388">
        <w:t>s</w:t>
      </w:r>
      <w:r w:rsidRPr="00D2676C">
        <w:t xml:space="preserve">ubject </w:t>
      </w:r>
      <w:r w:rsidR="006C0388">
        <w:t>o</w:t>
      </w:r>
      <w:r w:rsidRPr="00D2676C">
        <w:t>utline</w:t>
      </w:r>
      <w:r w:rsidR="006C0388">
        <w:t>.</w:t>
      </w:r>
    </w:p>
    <w:p w:rsidR="00C25DD5" w:rsidRPr="007B0542" w:rsidRDefault="00E74064" w:rsidP="00C25DD5">
      <w:pPr>
        <w:pStyle w:val="AssessmentTypeHeading"/>
        <w:rPr>
          <w:rFonts w:ascii="Arial" w:hAnsi="Arial"/>
          <w:sz w:val="24"/>
          <w:szCs w:val="24"/>
        </w:rPr>
      </w:pPr>
      <w:r w:rsidRPr="00E74064">
        <w:rPr>
          <w:rFonts w:ascii="Arial" w:hAnsi="Arial"/>
          <w:sz w:val="24"/>
          <w:szCs w:val="24"/>
        </w:rPr>
        <w:t xml:space="preserve">Enterprise </w:t>
      </w:r>
      <w:r w:rsidR="00D47814">
        <w:rPr>
          <w:rFonts w:ascii="Arial" w:hAnsi="Arial"/>
          <w:sz w:val="24"/>
          <w:szCs w:val="24"/>
        </w:rPr>
        <w:t>R</w:t>
      </w:r>
      <w:r w:rsidRPr="00E74064">
        <w:rPr>
          <w:rFonts w:ascii="Arial" w:hAnsi="Arial"/>
          <w:sz w:val="24"/>
          <w:szCs w:val="24"/>
        </w:rPr>
        <w:t>eport</w:t>
      </w:r>
    </w:p>
    <w:p w:rsidR="00C25DD5" w:rsidRPr="007F6404" w:rsidRDefault="00C25DD5" w:rsidP="00C25DD5">
      <w:pPr>
        <w:pStyle w:val="BodyText1"/>
      </w:pPr>
      <w:r w:rsidRPr="007F6404">
        <w:t xml:space="preserve">Fewer </w:t>
      </w:r>
      <w:r w:rsidR="006C0388">
        <w:t>e</w:t>
      </w:r>
      <w:r w:rsidRPr="007F6404">
        <w:t xml:space="preserve">nterprise reports were </w:t>
      </w:r>
      <w:r w:rsidR="00F847ED">
        <w:t>submitted in 2015</w:t>
      </w:r>
      <w:r w:rsidRPr="007F6404">
        <w:t>, with the majority not achieving at a comparable standard to the situation analysis.</w:t>
      </w:r>
      <w:r w:rsidR="007B0542">
        <w:t xml:space="preserve"> </w:t>
      </w:r>
      <w:r w:rsidRPr="007F6404">
        <w:t>In saying this</w:t>
      </w:r>
      <w:r w:rsidR="006C0388">
        <w:t>,</w:t>
      </w:r>
      <w:r w:rsidRPr="007F6404">
        <w:t xml:space="preserve"> however, the standard of </w:t>
      </w:r>
      <w:r w:rsidR="006C0388">
        <w:t>e</w:t>
      </w:r>
      <w:r w:rsidRPr="007F6404">
        <w:t xml:space="preserve">nterprise </w:t>
      </w:r>
      <w:r w:rsidR="006C0388">
        <w:t>r</w:t>
      </w:r>
      <w:r w:rsidRPr="007F6404">
        <w:t>eports has increased from previous years.</w:t>
      </w:r>
      <w:r w:rsidR="007B0542">
        <w:t xml:space="preserve"> </w:t>
      </w:r>
      <w:r w:rsidRPr="007F6404">
        <w:t xml:space="preserve">The greatest limitation seen in the </w:t>
      </w:r>
      <w:r w:rsidR="006C0388">
        <w:t>e</w:t>
      </w:r>
      <w:r w:rsidRPr="007F6404">
        <w:t xml:space="preserve">nterprise </w:t>
      </w:r>
      <w:r w:rsidR="006C0388">
        <w:t>r</w:t>
      </w:r>
      <w:r w:rsidRPr="007F6404">
        <w:t>eports was the very micro nature of the enterprise being conducted.</w:t>
      </w:r>
    </w:p>
    <w:p w:rsidR="00C25DD5" w:rsidRPr="00D2676C" w:rsidRDefault="00C25DD5" w:rsidP="00F847ED">
      <w:pPr>
        <w:pStyle w:val="BodyText1"/>
      </w:pPr>
      <w:r w:rsidRPr="007F6404">
        <w:t xml:space="preserve">Students </w:t>
      </w:r>
      <w:r w:rsidR="00612329">
        <w:t>who</w:t>
      </w:r>
      <w:r w:rsidRPr="007F6404">
        <w:t xml:space="preserve"> performed well in the </w:t>
      </w:r>
      <w:r w:rsidR="006C0388">
        <w:t>e</w:t>
      </w:r>
      <w:r w:rsidRPr="007F6404">
        <w:t>nterprise reports often displayed well</w:t>
      </w:r>
      <w:r w:rsidR="006C0388">
        <w:t>-</w:t>
      </w:r>
      <w:r w:rsidRPr="007F6404">
        <w:t>thought</w:t>
      </w:r>
      <w:r w:rsidR="006C0388">
        <w:t>-</w:t>
      </w:r>
      <w:r w:rsidRPr="007F6404">
        <w:t xml:space="preserve">out business theory that they were able to apply to the business, </w:t>
      </w:r>
      <w:r w:rsidR="00353EDD">
        <w:t xml:space="preserve">and </w:t>
      </w:r>
      <w:r w:rsidR="00AF61A1">
        <w:t xml:space="preserve">provided </w:t>
      </w:r>
      <w:r w:rsidRPr="007F6404">
        <w:t>complete financial statements from the enterprise’s operation</w:t>
      </w:r>
      <w:r w:rsidR="00353EDD">
        <w:t>,</w:t>
      </w:r>
      <w:r w:rsidRPr="007F6404">
        <w:t xml:space="preserve"> as well as the analysis and evaluation of key issues affecting the enterprise.</w:t>
      </w:r>
    </w:p>
    <w:p w:rsidR="008028C9" w:rsidRPr="00D2676C" w:rsidRDefault="008028C9" w:rsidP="00D2676C">
      <w:pPr>
        <w:pStyle w:val="Heading2"/>
        <w:rPr>
          <w:rFonts w:ascii="Arial Bold" w:hAnsi="Arial Bold" w:cs="Times New Roman"/>
          <w:szCs w:val="20"/>
        </w:rPr>
      </w:pPr>
      <w:r w:rsidRPr="00D2676C">
        <w:rPr>
          <w:rFonts w:ascii="Arial Bold" w:hAnsi="Arial Bold" w:cs="Times New Roman"/>
          <w:szCs w:val="20"/>
        </w:rPr>
        <w:t>General Comments</w:t>
      </w:r>
    </w:p>
    <w:p w:rsidR="008028C9" w:rsidRPr="007F6404" w:rsidRDefault="008028C9" w:rsidP="007F6404">
      <w:pPr>
        <w:pStyle w:val="BodyText1"/>
      </w:pPr>
      <w:r w:rsidRPr="007F6404">
        <w:t>The word</w:t>
      </w:r>
      <w:r w:rsidR="006C0388">
        <w:t>-</w:t>
      </w:r>
      <w:r w:rsidRPr="007F6404">
        <w:t>count again proved to be a significant issue</w:t>
      </w:r>
      <w:r w:rsidR="0047152A">
        <w:t>,</w:t>
      </w:r>
      <w:r w:rsidRPr="007F6404">
        <w:t xml:space="preserve"> with a large number of reports</w:t>
      </w:r>
      <w:r w:rsidR="0047152A">
        <w:t xml:space="preserve"> for</w:t>
      </w:r>
      <w:r w:rsidRPr="007F6404">
        <w:t xml:space="preserve"> </w:t>
      </w:r>
      <w:r w:rsidR="0047152A">
        <w:t xml:space="preserve">Assessment Type 4 </w:t>
      </w:r>
      <w:r w:rsidRPr="007F6404">
        <w:t>exceeding the 2000</w:t>
      </w:r>
      <w:r w:rsidR="006C0388">
        <w:t>-</w:t>
      </w:r>
      <w:r w:rsidRPr="007F6404">
        <w:t>word limit.</w:t>
      </w:r>
      <w:r w:rsidR="007B0542">
        <w:t xml:space="preserve"> </w:t>
      </w:r>
      <w:r w:rsidRPr="007F6404">
        <w:t xml:space="preserve">Teachers are encouraged to ensure </w:t>
      </w:r>
      <w:r w:rsidR="0047152A">
        <w:t xml:space="preserve">that </w:t>
      </w:r>
      <w:r w:rsidRPr="007F6404">
        <w:t xml:space="preserve">their students are familiar with the SACE </w:t>
      </w:r>
      <w:r w:rsidR="00612329">
        <w:t>w</w:t>
      </w:r>
      <w:r w:rsidRPr="007F6404">
        <w:t>ord</w:t>
      </w:r>
      <w:r w:rsidR="006C0388">
        <w:t>-</w:t>
      </w:r>
      <w:r w:rsidR="0047152A">
        <w:t>c</w:t>
      </w:r>
      <w:r w:rsidRPr="007F6404">
        <w:t xml:space="preserve">ount </w:t>
      </w:r>
      <w:r w:rsidR="00612329">
        <w:t>p</w:t>
      </w:r>
      <w:r w:rsidRPr="007F6404">
        <w:t>olicy, particularly in regards to the use of words in tables.</w:t>
      </w:r>
      <w:r w:rsidR="007B0542">
        <w:t xml:space="preserve"> </w:t>
      </w:r>
      <w:r w:rsidRPr="007F6404">
        <w:t xml:space="preserve">Some students gave </w:t>
      </w:r>
      <w:r w:rsidR="00C25DD5">
        <w:t xml:space="preserve">a </w:t>
      </w:r>
      <w:r w:rsidRPr="007F6404">
        <w:t>running word</w:t>
      </w:r>
      <w:r w:rsidR="006C0388">
        <w:t>-</w:t>
      </w:r>
      <w:r w:rsidRPr="007F6404">
        <w:t>count in the footer of their reports to aid with word</w:t>
      </w:r>
      <w:r w:rsidR="006C0388">
        <w:t>-</w:t>
      </w:r>
      <w:r w:rsidRPr="007F6404">
        <w:t>count verification.</w:t>
      </w:r>
    </w:p>
    <w:p w:rsidR="00C25DD5" w:rsidRDefault="008028C9" w:rsidP="007F6404">
      <w:pPr>
        <w:pStyle w:val="BodyText1"/>
      </w:pPr>
      <w:r w:rsidRPr="007F6404">
        <w:lastRenderedPageBreak/>
        <w:t>It was evident that a large percentage of reports followed a teacher scaffold.</w:t>
      </w:r>
      <w:r w:rsidR="007B0542">
        <w:t xml:space="preserve"> </w:t>
      </w:r>
      <w:r w:rsidRPr="007F6404">
        <w:t>While this can benefit lower</w:t>
      </w:r>
      <w:r w:rsidR="006C0388">
        <w:t>-</w:t>
      </w:r>
      <w:r w:rsidRPr="007F6404">
        <w:t>performing students, it was clearly a limitation for students to achieve in the higher grade bands.</w:t>
      </w:r>
    </w:p>
    <w:p w:rsidR="008028C9" w:rsidRPr="007F6404" w:rsidRDefault="008028C9" w:rsidP="007F6404">
      <w:pPr>
        <w:pStyle w:val="BodyText1"/>
      </w:pPr>
      <w:r w:rsidRPr="007F6404">
        <w:t>Students who achieved in the higher grade bands were able to differentiate the most relevant aspects of the business to discuss.</w:t>
      </w:r>
    </w:p>
    <w:p w:rsidR="00891A39" w:rsidRDefault="00891A39" w:rsidP="00891A39">
      <w:pPr>
        <w:pStyle w:val="BodyText1"/>
      </w:pPr>
      <w:r>
        <w:t>S</w:t>
      </w:r>
      <w:r w:rsidRPr="007F6404">
        <w:t>tudents are encouraged to follow correct conventions</w:t>
      </w:r>
      <w:r>
        <w:t>, such as</w:t>
      </w:r>
      <w:r w:rsidRPr="007F6404">
        <w:t xml:space="preserve"> including </w:t>
      </w:r>
      <w:r>
        <w:t xml:space="preserve">a </w:t>
      </w:r>
      <w:r w:rsidRPr="007F6404">
        <w:t xml:space="preserve">table of contents, </w:t>
      </w:r>
      <w:r>
        <w:t xml:space="preserve">a </w:t>
      </w:r>
      <w:r w:rsidRPr="007F6404">
        <w:t>list of figures, subheadings, page numbering</w:t>
      </w:r>
      <w:r>
        <w:t>, and so on</w:t>
      </w:r>
      <w:r w:rsidRPr="007F6404">
        <w:t>.</w:t>
      </w:r>
    </w:p>
    <w:p w:rsidR="00891A39" w:rsidRDefault="00891A39" w:rsidP="00891A39">
      <w:pPr>
        <w:pStyle w:val="BodyText1"/>
      </w:pPr>
      <w:r>
        <w:t>S</w:t>
      </w:r>
      <w:r w:rsidRPr="007F6404">
        <w:t xml:space="preserve">tudents should ensure they follow correct </w:t>
      </w:r>
      <w:r>
        <w:t xml:space="preserve">referencing </w:t>
      </w:r>
      <w:r w:rsidRPr="007F6404">
        <w:t>conventions, by either using in</w:t>
      </w:r>
      <w:r>
        <w:t>-</w:t>
      </w:r>
      <w:r w:rsidRPr="007F6404">
        <w:t xml:space="preserve">text referencing or footnoting. When using either of these </w:t>
      </w:r>
      <w:r>
        <w:t xml:space="preserve">conventions, students need to </w:t>
      </w:r>
      <w:r w:rsidRPr="007F6404">
        <w:t>ensure they have al</w:t>
      </w:r>
      <w:r>
        <w:t>l the relevant details included. ‘</w:t>
      </w:r>
      <w:r w:rsidRPr="007F6404">
        <w:t>Class notes</w:t>
      </w:r>
      <w:r>
        <w:t>’</w:t>
      </w:r>
      <w:r w:rsidRPr="007F6404">
        <w:t xml:space="preserve"> is not a </w:t>
      </w:r>
      <w:r>
        <w:t>valid</w:t>
      </w:r>
      <w:r w:rsidRPr="007F6404">
        <w:t xml:space="preserve"> reference.</w:t>
      </w:r>
    </w:p>
    <w:p w:rsidR="001A0F23" w:rsidRPr="000B51DE" w:rsidRDefault="00532959" w:rsidP="004E1F21">
      <w:pPr>
        <w:pStyle w:val="Heading2"/>
        <w:jc w:val="both"/>
      </w:pPr>
      <w:r>
        <w:t>Operational Advice</w:t>
      </w:r>
    </w:p>
    <w:p w:rsidR="00735CE9" w:rsidRDefault="00735CE9" w:rsidP="007F6404">
      <w:pPr>
        <w:pStyle w:val="BodyText1"/>
      </w:pPr>
      <w:r>
        <w:t>School assessment tasks are set and marked by teachers. Teachers’ assessment decisions are reviewed by moderators. Teacher grades/marks should be evident on all student school assessment work.</w:t>
      </w:r>
    </w:p>
    <w:p w:rsidR="004E1F21" w:rsidRDefault="004E1F21" w:rsidP="007F6404">
      <w:pPr>
        <w:pStyle w:val="BodyText1"/>
      </w:pPr>
      <w:r>
        <w:t>Generally teachers made not</w:t>
      </w:r>
      <w:r w:rsidR="00337E64">
        <w:t>e</w:t>
      </w:r>
      <w:r>
        <w:t xml:space="preserve"> of changes to their </w:t>
      </w:r>
      <w:r w:rsidR="006C0388">
        <w:t>l</w:t>
      </w:r>
      <w:r>
        <w:t xml:space="preserve">earning and </w:t>
      </w:r>
      <w:r w:rsidR="006C0388">
        <w:t>a</w:t>
      </w:r>
      <w:r>
        <w:t xml:space="preserve">ssessment </w:t>
      </w:r>
      <w:r w:rsidR="006C0388">
        <w:t>p</w:t>
      </w:r>
      <w:r>
        <w:t xml:space="preserve">lan in </w:t>
      </w:r>
      <w:r w:rsidR="006C0388">
        <w:t>an appropriate a</w:t>
      </w:r>
      <w:r>
        <w:t xml:space="preserve">ddendum. Teachers must carefully enter grades and ensure they match with what is allocated on student work so </w:t>
      </w:r>
      <w:r w:rsidR="006C0388">
        <w:t xml:space="preserve">that </w:t>
      </w:r>
      <w:r>
        <w:t>students are not unduly disadvantaged.</w:t>
      </w:r>
    </w:p>
    <w:p w:rsidR="004E1F21" w:rsidRPr="007F6404" w:rsidRDefault="004E1F21" w:rsidP="007F6404">
      <w:pPr>
        <w:pStyle w:val="BodyText1"/>
      </w:pPr>
      <w:r>
        <w:t xml:space="preserve">The packaging and presentation of materials was generally </w:t>
      </w:r>
      <w:r w:rsidR="00F847ED">
        <w:t>very good</w:t>
      </w:r>
      <w:r>
        <w:t xml:space="preserve">. Teachers who presented their packages as requested in the </w:t>
      </w:r>
      <w:r w:rsidR="00FA0EB6">
        <w:t>Business and Enterprise subject operational information</w:t>
      </w:r>
      <w:r>
        <w:t xml:space="preserve"> </w:t>
      </w:r>
      <w:r w:rsidRPr="007F6404">
        <w:t xml:space="preserve">and the School Assessment Sample Materials Submission Form ensured that moderation process ran smoothly. Stapling cover sheets to the front of student work </w:t>
      </w:r>
      <w:r w:rsidR="00F847ED">
        <w:t xml:space="preserve">is generally good practice. </w:t>
      </w:r>
      <w:proofErr w:type="gramStart"/>
      <w:r w:rsidR="00F847ED">
        <w:t>Teacher annotations throughout school</w:t>
      </w:r>
      <w:r w:rsidR="006C0388">
        <w:t>-</w:t>
      </w:r>
      <w:r w:rsidR="00F847ED">
        <w:t>moderated work helps</w:t>
      </w:r>
      <w:proofErr w:type="gramEnd"/>
      <w:r w:rsidR="00F847ED">
        <w:t xml:space="preserve"> the moderation team determine a rationale for teacher judgments.</w:t>
      </w:r>
    </w:p>
    <w:p w:rsidR="007B0542" w:rsidRDefault="007B0542" w:rsidP="00A5184E">
      <w:pPr>
        <w:rPr>
          <w:rFonts w:ascii="Arial" w:hAnsi="Arial" w:cs="Arial"/>
          <w:szCs w:val="22"/>
        </w:rPr>
      </w:pPr>
    </w:p>
    <w:p w:rsidR="007B0542" w:rsidRDefault="007B0542" w:rsidP="00A5184E">
      <w:pPr>
        <w:rPr>
          <w:rFonts w:ascii="Arial" w:hAnsi="Arial" w:cs="Arial"/>
          <w:szCs w:val="22"/>
        </w:rPr>
      </w:pPr>
    </w:p>
    <w:p w:rsidR="001A0F23" w:rsidRPr="007F6404" w:rsidRDefault="00462B90" w:rsidP="00A5184E">
      <w:pPr>
        <w:rPr>
          <w:rFonts w:ascii="Arial" w:hAnsi="Arial" w:cs="Arial"/>
          <w:szCs w:val="22"/>
        </w:rPr>
      </w:pPr>
      <w:r w:rsidRPr="007F6404">
        <w:rPr>
          <w:rFonts w:ascii="Arial" w:hAnsi="Arial" w:cs="Arial"/>
          <w:szCs w:val="22"/>
        </w:rPr>
        <w:t>Business and Enterprise</w:t>
      </w:r>
    </w:p>
    <w:p w:rsidR="00DC7C11" w:rsidRPr="007F6404" w:rsidRDefault="001A0F23" w:rsidP="00A5184E">
      <w:pPr>
        <w:pStyle w:val="BodyText1"/>
        <w:spacing w:before="0" w:after="0"/>
      </w:pPr>
      <w:r w:rsidRPr="007F6404">
        <w:t>Chief Assessor</w:t>
      </w:r>
    </w:p>
    <w:sectPr w:rsidR="00DC7C11" w:rsidRPr="007F6404"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C42" w:rsidRDefault="005B2C42">
      <w:r>
        <w:separator/>
      </w:r>
    </w:p>
    <w:p w:rsidR="005B2C42" w:rsidRDefault="005B2C42"/>
  </w:endnote>
  <w:endnote w:type="continuationSeparator" w:id="0">
    <w:p w:rsidR="005B2C42" w:rsidRDefault="005B2C42">
      <w:r>
        <w:continuationSeparator/>
      </w:r>
    </w:p>
    <w:p w:rsidR="005B2C42" w:rsidRDefault="005B2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E74064">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E74064">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462B90" w:rsidP="0054520B">
    <w:pPr>
      <w:pStyle w:val="CAFooter"/>
    </w:pPr>
    <w:r w:rsidRPr="007F6404">
      <w:t>Business and Enterprise</w:t>
    </w:r>
    <w:r w:rsidR="009C1816" w:rsidRPr="007F6404">
      <w:t xml:space="preserve"> </w:t>
    </w:r>
    <w:r w:rsidR="008D4935">
      <w:t>201</w:t>
    </w:r>
    <w:r w:rsidR="00257958">
      <w:t>5</w:t>
    </w:r>
    <w:r w:rsidR="008D4935">
      <w:t xml:space="preserve"> </w:t>
    </w:r>
    <w:r w:rsidR="000A7E3A">
      <w:t>Chief Assessor’s</w:t>
    </w:r>
    <w:r w:rsidR="009C1816">
      <w:t xml:space="preserve"> Report</w:t>
    </w:r>
    <w:r w:rsidR="009C1816">
      <w:tab/>
    </w:r>
    <w:r w:rsidR="009C1816" w:rsidRPr="005B1FDF">
      <w:t xml:space="preserve">Page </w:t>
    </w:r>
    <w:r w:rsidR="00E74064" w:rsidRPr="005B1FDF">
      <w:fldChar w:fldCharType="begin"/>
    </w:r>
    <w:r w:rsidR="009C1816" w:rsidRPr="005B1FDF">
      <w:instrText xml:space="preserve"> PAGE </w:instrText>
    </w:r>
    <w:r w:rsidR="00E74064" w:rsidRPr="005B1FDF">
      <w:fldChar w:fldCharType="separate"/>
    </w:r>
    <w:r w:rsidR="003F7A59">
      <w:rPr>
        <w:noProof/>
      </w:rPr>
      <w:t>6</w:t>
    </w:r>
    <w:r w:rsidR="00E74064" w:rsidRPr="005B1FDF">
      <w:fldChar w:fldCharType="end"/>
    </w:r>
    <w:r w:rsidR="009C1816" w:rsidRPr="005B1FDF">
      <w:t xml:space="preserve"> of </w:t>
    </w:r>
    <w:r w:rsidR="00E74064" w:rsidRPr="005B1FDF">
      <w:fldChar w:fldCharType="begin"/>
    </w:r>
    <w:r w:rsidR="009C1816" w:rsidRPr="005B1FDF">
      <w:instrText xml:space="preserve"> NUMPAGES </w:instrText>
    </w:r>
    <w:r w:rsidR="00E74064" w:rsidRPr="005B1FDF">
      <w:fldChar w:fldCharType="separate"/>
    </w:r>
    <w:r w:rsidR="003F7A59">
      <w:rPr>
        <w:noProof/>
      </w:rPr>
      <w:t>6</w:t>
    </w:r>
    <w:r w:rsidR="00E74064"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E74064">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C42" w:rsidRDefault="005B2C42">
      <w:r>
        <w:separator/>
      </w:r>
    </w:p>
    <w:p w:rsidR="005B2C42" w:rsidRDefault="005B2C42"/>
  </w:footnote>
  <w:footnote w:type="continuationSeparator" w:id="0">
    <w:p w:rsidR="005B2C42" w:rsidRDefault="005B2C42">
      <w:r>
        <w:continuationSeparator/>
      </w:r>
    </w:p>
    <w:p w:rsidR="005B2C42" w:rsidRDefault="005B2C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80D5FC3"/>
    <w:multiLevelType w:val="hybridMultilevel"/>
    <w:tmpl w:val="3380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A178A"/>
    <w:multiLevelType w:val="hybridMultilevel"/>
    <w:tmpl w:val="5C9C2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3BF1BFE"/>
    <w:multiLevelType w:val="hybridMultilevel"/>
    <w:tmpl w:val="2F322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194372"/>
    <w:multiLevelType w:val="hybridMultilevel"/>
    <w:tmpl w:val="790C4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7"/>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5"/>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455ED"/>
    <w:rsid w:val="00054F9D"/>
    <w:rsid w:val="00061DAE"/>
    <w:rsid w:val="0007081C"/>
    <w:rsid w:val="000A7E3A"/>
    <w:rsid w:val="000B51DE"/>
    <w:rsid w:val="000C3880"/>
    <w:rsid w:val="000E4E6A"/>
    <w:rsid w:val="0010157A"/>
    <w:rsid w:val="00113786"/>
    <w:rsid w:val="001138EE"/>
    <w:rsid w:val="0012728F"/>
    <w:rsid w:val="0014705D"/>
    <w:rsid w:val="001474AD"/>
    <w:rsid w:val="00160240"/>
    <w:rsid w:val="00165AA5"/>
    <w:rsid w:val="00177B48"/>
    <w:rsid w:val="0019734A"/>
    <w:rsid w:val="001A0F23"/>
    <w:rsid w:val="001B0589"/>
    <w:rsid w:val="001B602D"/>
    <w:rsid w:val="001C65C8"/>
    <w:rsid w:val="001C7099"/>
    <w:rsid w:val="001E49B2"/>
    <w:rsid w:val="001F3325"/>
    <w:rsid w:val="001F4153"/>
    <w:rsid w:val="001F6CC1"/>
    <w:rsid w:val="00204291"/>
    <w:rsid w:val="002042D6"/>
    <w:rsid w:val="00215611"/>
    <w:rsid w:val="00225FC5"/>
    <w:rsid w:val="00247A2D"/>
    <w:rsid w:val="0025760F"/>
    <w:rsid w:val="00257958"/>
    <w:rsid w:val="00265ACC"/>
    <w:rsid w:val="00285DFB"/>
    <w:rsid w:val="002948CC"/>
    <w:rsid w:val="002A00B7"/>
    <w:rsid w:val="002A21C2"/>
    <w:rsid w:val="002B4579"/>
    <w:rsid w:val="002B625C"/>
    <w:rsid w:val="002C5A36"/>
    <w:rsid w:val="002C62D8"/>
    <w:rsid w:val="00312191"/>
    <w:rsid w:val="00337E64"/>
    <w:rsid w:val="003463FB"/>
    <w:rsid w:val="00353EDD"/>
    <w:rsid w:val="00355FAC"/>
    <w:rsid w:val="00361D31"/>
    <w:rsid w:val="00366179"/>
    <w:rsid w:val="003671C1"/>
    <w:rsid w:val="0038623A"/>
    <w:rsid w:val="003C7581"/>
    <w:rsid w:val="003C7BEC"/>
    <w:rsid w:val="003F7A59"/>
    <w:rsid w:val="00413D36"/>
    <w:rsid w:val="00420E97"/>
    <w:rsid w:val="00450A1A"/>
    <w:rsid w:val="00462B90"/>
    <w:rsid w:val="0047152A"/>
    <w:rsid w:val="00477B74"/>
    <w:rsid w:val="004875CD"/>
    <w:rsid w:val="004A2435"/>
    <w:rsid w:val="004D0F80"/>
    <w:rsid w:val="004D2A53"/>
    <w:rsid w:val="004D53DE"/>
    <w:rsid w:val="004D55A5"/>
    <w:rsid w:val="004E1F21"/>
    <w:rsid w:val="004E77C7"/>
    <w:rsid w:val="0053196F"/>
    <w:rsid w:val="00532959"/>
    <w:rsid w:val="00536536"/>
    <w:rsid w:val="0054520B"/>
    <w:rsid w:val="00560F4B"/>
    <w:rsid w:val="00574A4E"/>
    <w:rsid w:val="00592A3C"/>
    <w:rsid w:val="00597399"/>
    <w:rsid w:val="005B1FDF"/>
    <w:rsid w:val="005B2C42"/>
    <w:rsid w:val="005D713B"/>
    <w:rsid w:val="00603E07"/>
    <w:rsid w:val="00612329"/>
    <w:rsid w:val="00613FDD"/>
    <w:rsid w:val="006246EA"/>
    <w:rsid w:val="006374D2"/>
    <w:rsid w:val="006441C7"/>
    <w:rsid w:val="0066363A"/>
    <w:rsid w:val="00663BA6"/>
    <w:rsid w:val="006829AF"/>
    <w:rsid w:val="006875B7"/>
    <w:rsid w:val="006951B8"/>
    <w:rsid w:val="006C0388"/>
    <w:rsid w:val="006C3FEB"/>
    <w:rsid w:val="006C5F5C"/>
    <w:rsid w:val="006D46C9"/>
    <w:rsid w:val="006D663D"/>
    <w:rsid w:val="006F26B1"/>
    <w:rsid w:val="0072189E"/>
    <w:rsid w:val="007349DC"/>
    <w:rsid w:val="00735CE9"/>
    <w:rsid w:val="00744570"/>
    <w:rsid w:val="00757A06"/>
    <w:rsid w:val="0079634D"/>
    <w:rsid w:val="007B0542"/>
    <w:rsid w:val="007C0BA1"/>
    <w:rsid w:val="007C16AD"/>
    <w:rsid w:val="007E5CE9"/>
    <w:rsid w:val="007F6404"/>
    <w:rsid w:val="007F7FE1"/>
    <w:rsid w:val="008028C9"/>
    <w:rsid w:val="00814A7B"/>
    <w:rsid w:val="00814A7F"/>
    <w:rsid w:val="0083404B"/>
    <w:rsid w:val="00847D4F"/>
    <w:rsid w:val="00875BCA"/>
    <w:rsid w:val="00891A39"/>
    <w:rsid w:val="008C3D32"/>
    <w:rsid w:val="008C4944"/>
    <w:rsid w:val="008D4935"/>
    <w:rsid w:val="008D6093"/>
    <w:rsid w:val="008E0250"/>
    <w:rsid w:val="008F68EB"/>
    <w:rsid w:val="009306CE"/>
    <w:rsid w:val="0094728A"/>
    <w:rsid w:val="00951B11"/>
    <w:rsid w:val="00961C54"/>
    <w:rsid w:val="00975373"/>
    <w:rsid w:val="009867AC"/>
    <w:rsid w:val="009A443D"/>
    <w:rsid w:val="009A4917"/>
    <w:rsid w:val="009B44BF"/>
    <w:rsid w:val="009B5EE0"/>
    <w:rsid w:val="009C1816"/>
    <w:rsid w:val="009D13AD"/>
    <w:rsid w:val="009F4384"/>
    <w:rsid w:val="009F78D3"/>
    <w:rsid w:val="00A031F7"/>
    <w:rsid w:val="00A137E9"/>
    <w:rsid w:val="00A33FA7"/>
    <w:rsid w:val="00A5184E"/>
    <w:rsid w:val="00A53EB2"/>
    <w:rsid w:val="00A60FF8"/>
    <w:rsid w:val="00A63889"/>
    <w:rsid w:val="00A6432C"/>
    <w:rsid w:val="00A676C0"/>
    <w:rsid w:val="00A74970"/>
    <w:rsid w:val="00A81CA3"/>
    <w:rsid w:val="00A956BA"/>
    <w:rsid w:val="00AB1BDE"/>
    <w:rsid w:val="00AB5993"/>
    <w:rsid w:val="00AB63FF"/>
    <w:rsid w:val="00AF1476"/>
    <w:rsid w:val="00AF61A1"/>
    <w:rsid w:val="00B02285"/>
    <w:rsid w:val="00B1461F"/>
    <w:rsid w:val="00B37AB5"/>
    <w:rsid w:val="00B55E8B"/>
    <w:rsid w:val="00B622CB"/>
    <w:rsid w:val="00B640D2"/>
    <w:rsid w:val="00B65A29"/>
    <w:rsid w:val="00B67430"/>
    <w:rsid w:val="00B7041D"/>
    <w:rsid w:val="00B80EDC"/>
    <w:rsid w:val="00B83BF9"/>
    <w:rsid w:val="00BA47C5"/>
    <w:rsid w:val="00BC2917"/>
    <w:rsid w:val="00BF4A41"/>
    <w:rsid w:val="00C01636"/>
    <w:rsid w:val="00C070E3"/>
    <w:rsid w:val="00C25DD5"/>
    <w:rsid w:val="00C36140"/>
    <w:rsid w:val="00C61173"/>
    <w:rsid w:val="00C74D02"/>
    <w:rsid w:val="00C86F95"/>
    <w:rsid w:val="00C87071"/>
    <w:rsid w:val="00C878D2"/>
    <w:rsid w:val="00C91C12"/>
    <w:rsid w:val="00C94D01"/>
    <w:rsid w:val="00CA1D18"/>
    <w:rsid w:val="00CC03DA"/>
    <w:rsid w:val="00CD32DE"/>
    <w:rsid w:val="00CD6252"/>
    <w:rsid w:val="00D108CB"/>
    <w:rsid w:val="00D2676C"/>
    <w:rsid w:val="00D27BE6"/>
    <w:rsid w:val="00D47814"/>
    <w:rsid w:val="00D523C2"/>
    <w:rsid w:val="00D955A0"/>
    <w:rsid w:val="00DA62AE"/>
    <w:rsid w:val="00DB0401"/>
    <w:rsid w:val="00DB5AF3"/>
    <w:rsid w:val="00DB6E71"/>
    <w:rsid w:val="00DC7C11"/>
    <w:rsid w:val="00DD19CB"/>
    <w:rsid w:val="00DD7C09"/>
    <w:rsid w:val="00DF2E21"/>
    <w:rsid w:val="00DF42D8"/>
    <w:rsid w:val="00E122A9"/>
    <w:rsid w:val="00E129BC"/>
    <w:rsid w:val="00E22164"/>
    <w:rsid w:val="00E253E3"/>
    <w:rsid w:val="00E261D1"/>
    <w:rsid w:val="00E40A90"/>
    <w:rsid w:val="00E4274D"/>
    <w:rsid w:val="00E55E7F"/>
    <w:rsid w:val="00E61CD2"/>
    <w:rsid w:val="00E704C7"/>
    <w:rsid w:val="00E74064"/>
    <w:rsid w:val="00E76CCB"/>
    <w:rsid w:val="00E87E9A"/>
    <w:rsid w:val="00E916BE"/>
    <w:rsid w:val="00E9608B"/>
    <w:rsid w:val="00EA125F"/>
    <w:rsid w:val="00EB12C8"/>
    <w:rsid w:val="00EB7006"/>
    <w:rsid w:val="00EF31AB"/>
    <w:rsid w:val="00EF3901"/>
    <w:rsid w:val="00F02D47"/>
    <w:rsid w:val="00F5454B"/>
    <w:rsid w:val="00F652FD"/>
    <w:rsid w:val="00F737D0"/>
    <w:rsid w:val="00F802C4"/>
    <w:rsid w:val="00F847ED"/>
    <w:rsid w:val="00FA0EB6"/>
    <w:rsid w:val="00FA5691"/>
    <w:rsid w:val="00FB52E5"/>
    <w:rsid w:val="00FC68B9"/>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94728A"/>
    <w:pPr>
      <w:keepNext/>
      <w:spacing w:before="480"/>
      <w:outlineLvl w:val="1"/>
    </w:pPr>
    <w:rPr>
      <w:rFonts w:ascii="Arial" w:hAnsi="Arial" w:cs="Arial"/>
      <w:b/>
      <w:sz w:val="28"/>
      <w:szCs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462B90"/>
    <w:pPr>
      <w:ind w:left="720"/>
      <w:contextualSpacing/>
    </w:pPr>
    <w:rPr>
      <w:rFonts w:asciiTheme="minorHAnsi" w:eastAsiaTheme="minorEastAsia" w:hAnsiTheme="minorHAnsi" w:cstheme="minorBidi"/>
      <w:sz w:val="24"/>
      <w:szCs w:val="24"/>
      <w:lang w:val="en-US"/>
    </w:rPr>
  </w:style>
  <w:style w:type="paragraph" w:customStyle="1" w:styleId="SOFinalBodyText">
    <w:name w:val="SO Final Body Text"/>
    <w:link w:val="SOFinalBodyTextCharChar"/>
    <w:rsid w:val="007B0542"/>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7B0542"/>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94728A"/>
    <w:pPr>
      <w:keepNext/>
      <w:spacing w:before="480"/>
      <w:outlineLvl w:val="1"/>
    </w:pPr>
    <w:rPr>
      <w:rFonts w:ascii="Arial" w:hAnsi="Arial" w:cs="Arial"/>
      <w:b/>
      <w:sz w:val="28"/>
      <w:szCs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462B90"/>
    <w:pPr>
      <w:ind w:left="720"/>
      <w:contextualSpacing/>
    </w:pPr>
    <w:rPr>
      <w:rFonts w:asciiTheme="minorHAnsi" w:eastAsiaTheme="minorEastAsia" w:hAnsiTheme="minorHAnsi" w:cstheme="minorBidi"/>
      <w:sz w:val="24"/>
      <w:szCs w:val="24"/>
      <w:lang w:val="en-US"/>
    </w:rPr>
  </w:style>
  <w:style w:type="paragraph" w:customStyle="1" w:styleId="SOFinalBodyText">
    <w:name w:val="SO Final Body Text"/>
    <w:link w:val="SOFinalBodyTextCharChar"/>
    <w:rsid w:val="007B0542"/>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7B0542"/>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5E1BAFD-6C77-45F1-B23A-D86BF367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19</TotalTime>
  <Pages>6</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Jamie Dunnill</cp:lastModifiedBy>
  <cp:revision>5</cp:revision>
  <cp:lastPrinted>2015-12-18T01:02:00Z</cp:lastPrinted>
  <dcterms:created xsi:type="dcterms:W3CDTF">2016-01-22T11:50:00Z</dcterms:created>
  <dcterms:modified xsi:type="dcterms:W3CDTF">2016-02-01T06:00:00Z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A491804</vt:lpwstr>
  </property>
  <property fmtid="{D5CDD505-2E9C-101B-9397-08002B2CF9AE}" pid="3" name="Objective-Comment">
    <vt:lpwstr/>
  </property>
  <property fmtid="{D5CDD505-2E9C-101B-9397-08002B2CF9AE}" pid="4" name="Objective-CreationStamp">
    <vt:filetime>2015-12-15T00:53:47Z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2016-02-01T05:42:18Z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Business and Enterprise Chief Assessor's Report</vt:lpwstr>
  </property>
  <property fmtid="{D5CDD505-2E9C-101B-9397-08002B2CF9AE}" pid="14" name="Objective-Version">
    <vt:lpwstr>0.5</vt:lpwstr>
  </property>
  <property fmtid="{D5CDD505-2E9C-101B-9397-08002B2CF9AE}" pid="15" name="Objective-VersionComment">
    <vt:lpwstr/>
  </property>
  <property fmtid="{D5CDD505-2E9C-101B-9397-08002B2CF9AE}" pid="16" name="Objective-VersionNumber">
    <vt:r8>5</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