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bookmarkStart w:id="0" w:name="_GoBack"/>
      <w:bookmarkEnd w:id="0"/>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CC1BC2" w:rsidP="001A0F23">
      <w:pPr>
        <w:pStyle w:val="FrontPageHeading"/>
        <w:spacing w:before="4200"/>
      </w:pPr>
      <w:r>
        <w:t>Business and Enterprise</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786079">
      <w:pPr>
        <w:pStyle w:val="Heading1"/>
        <w:rPr>
          <w:lang w:val="en-US"/>
        </w:rPr>
      </w:pPr>
      <w:r>
        <w:lastRenderedPageBreak/>
        <w:t>Business and Enterprise</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Pr="00DF6371" w:rsidRDefault="00DF6371" w:rsidP="00DF6371">
      <w:pPr>
        <w:pStyle w:val="AssessmentTypeHeading"/>
      </w:pPr>
      <w:r>
        <w:t>Assessment Type 1: Folio</w:t>
      </w:r>
    </w:p>
    <w:p w:rsidR="009B43FA" w:rsidRPr="00580317" w:rsidRDefault="009B43FA" w:rsidP="00FF4D0F">
      <w:pPr>
        <w:pStyle w:val="BodyText1"/>
      </w:pPr>
      <w:r w:rsidRPr="00580317">
        <w:t>The weighting of the folio is 40% for a 1</w:t>
      </w:r>
      <w:r w:rsidR="00FF4D0F">
        <w:t xml:space="preserve">0-credit subject </w:t>
      </w:r>
      <w:r w:rsidRPr="00580317">
        <w:t>and 30% for a 20-credit subject. The folio is part of the school assessment component for both a 10-credit subject and a</w:t>
      </w:r>
      <w:r w:rsidR="00231498">
        <w:t xml:space="preserve"> </w:t>
      </w:r>
      <w:r w:rsidRPr="00580317">
        <w:t>20-credit subject. For a 10-credit subject, students undertake two or three assessments. For a 20-credit subject, students undertake four to six assessments. One assessment must come from the core topic and the remaining assessments may come from the option topi</w:t>
      </w:r>
      <w:r w:rsidR="009446DD">
        <w:t>c(s). For this assessment type</w:t>
      </w:r>
      <w:r w:rsidR="00821CA6">
        <w:t>,</w:t>
      </w:r>
      <w:r w:rsidR="009446DD">
        <w:t xml:space="preserve"> </w:t>
      </w:r>
      <w:r w:rsidRPr="00580317">
        <w:t>student</w:t>
      </w:r>
      <w:r w:rsidR="009446DD">
        <w:t xml:space="preserve">s </w:t>
      </w:r>
      <w:r w:rsidRPr="00580317">
        <w:t>provide evidence of their learning in relation to the following assessment design criteria:</w:t>
      </w:r>
    </w:p>
    <w:p w:rsidR="009B43FA" w:rsidRPr="009446DD" w:rsidRDefault="00821CA6" w:rsidP="009446DD">
      <w:pPr>
        <w:pStyle w:val="dotpoints"/>
      </w:pPr>
      <w:r>
        <w:t>k</w:t>
      </w:r>
      <w:r w:rsidR="009B43FA" w:rsidRPr="009446DD">
        <w:t>nowledge and understanding</w:t>
      </w:r>
    </w:p>
    <w:p w:rsidR="009B43FA" w:rsidRPr="009446DD" w:rsidRDefault="00821CA6" w:rsidP="009446DD">
      <w:pPr>
        <w:pStyle w:val="dotpoints"/>
      </w:pPr>
      <w:r>
        <w:t>a</w:t>
      </w:r>
      <w:r w:rsidR="009B43FA" w:rsidRPr="009446DD">
        <w:t>nalysis and evaluation</w:t>
      </w:r>
    </w:p>
    <w:p w:rsidR="009B43FA" w:rsidRPr="009446DD" w:rsidRDefault="00821CA6" w:rsidP="009446DD">
      <w:pPr>
        <w:pStyle w:val="dotpoints"/>
      </w:pPr>
      <w:r>
        <w:t>c</w:t>
      </w:r>
      <w:r w:rsidR="009B43FA" w:rsidRPr="009446DD">
        <w:t>ommunication</w:t>
      </w:r>
    </w:p>
    <w:p w:rsidR="009B43FA" w:rsidRPr="009446DD" w:rsidRDefault="00821CA6" w:rsidP="009446DD">
      <w:pPr>
        <w:pStyle w:val="dotpoints"/>
      </w:pPr>
      <w:proofErr w:type="gramStart"/>
      <w:r>
        <w:t>a</w:t>
      </w:r>
      <w:r w:rsidR="009B43FA" w:rsidRPr="009446DD">
        <w:t>pplication</w:t>
      </w:r>
      <w:proofErr w:type="gramEnd"/>
      <w:r>
        <w:t>.</w:t>
      </w:r>
    </w:p>
    <w:p w:rsidR="004D59AE" w:rsidRDefault="00DF6371" w:rsidP="004D59AE">
      <w:pPr>
        <w:pStyle w:val="BodyText1"/>
      </w:pPr>
      <w:r>
        <w:t>Teachers mostly provided the</w:t>
      </w:r>
      <w:r w:rsidR="00C96D9B" w:rsidRPr="00580317">
        <w:t xml:space="preserve"> correct sample</w:t>
      </w:r>
      <w:r>
        <w:t>s</w:t>
      </w:r>
      <w:r w:rsidR="00C96D9B" w:rsidRPr="00580317">
        <w:t xml:space="preserve"> for moderation as outline</w:t>
      </w:r>
      <w:r w:rsidR="00580317" w:rsidRPr="00580317">
        <w:t>d</w:t>
      </w:r>
      <w:r w:rsidR="00C96D9B" w:rsidRPr="00580317">
        <w:t xml:space="preserve"> in the </w:t>
      </w:r>
      <w:r>
        <w:t>Business and Enterprise subject operational information</w:t>
      </w:r>
      <w:r w:rsidR="00C96D9B" w:rsidRPr="00580317">
        <w:t>. Teachers are f</w:t>
      </w:r>
      <w:r w:rsidR="004D59AE">
        <w:t xml:space="preserve">urther encouraged to access the Business and Enterprise </w:t>
      </w:r>
      <w:proofErr w:type="spellStart"/>
      <w:r w:rsidR="004D59AE">
        <w:t>minisite</w:t>
      </w:r>
      <w:proofErr w:type="spellEnd"/>
      <w:r w:rsidR="004D59AE">
        <w:t xml:space="preserve"> for</w:t>
      </w:r>
      <w:r w:rsidR="00C96D9B" w:rsidRPr="00580317">
        <w:t xml:space="preserve"> </w:t>
      </w:r>
      <w:r w:rsidR="009446DD">
        <w:t>advice on preparing Stage 2 m</w:t>
      </w:r>
      <w:r w:rsidR="00C96D9B" w:rsidRPr="00DF6371">
        <w:t>aterials</w:t>
      </w:r>
      <w:r w:rsidR="004D59AE">
        <w:t xml:space="preserve">, </w:t>
      </w:r>
      <w:r w:rsidR="00C96D9B" w:rsidRPr="00DF6371">
        <w:t xml:space="preserve">and </w:t>
      </w:r>
      <w:r w:rsidR="009446DD">
        <w:t>on completing</w:t>
      </w:r>
      <w:r w:rsidR="00C96D9B" w:rsidRPr="00DF6371">
        <w:t xml:space="preserve"> the correct Variations </w:t>
      </w:r>
      <w:r w:rsidR="00821CA6">
        <w:t>—</w:t>
      </w:r>
      <w:r w:rsidR="00C96D9B" w:rsidRPr="00DF6371">
        <w:t xml:space="preserve"> Moderation Materials </w:t>
      </w:r>
      <w:r w:rsidR="009446DD">
        <w:t xml:space="preserve">form </w:t>
      </w:r>
      <w:r w:rsidR="004D59AE">
        <w:t>if student work is missing.</w:t>
      </w:r>
    </w:p>
    <w:p w:rsidR="009B43FA" w:rsidRPr="00DF6371" w:rsidRDefault="00C96D9B" w:rsidP="004D59AE">
      <w:pPr>
        <w:pStyle w:val="BodyText1"/>
      </w:pPr>
      <w:r w:rsidRPr="00DF6371">
        <w:t>Th</w:t>
      </w:r>
      <w:r w:rsidR="00CD03B9">
        <w:t xml:space="preserve">e quality of work was pleasing; </w:t>
      </w:r>
      <w:r w:rsidR="0051645D">
        <w:t>content</w:t>
      </w:r>
      <w:r w:rsidRPr="00DF6371">
        <w:t xml:space="preserve"> </w:t>
      </w:r>
      <w:r w:rsidR="002D74ED">
        <w:t xml:space="preserve">was </w:t>
      </w:r>
      <w:r w:rsidRPr="00DF6371">
        <w:t>assessed in areas of knowledge and understanding</w:t>
      </w:r>
      <w:r w:rsidR="00821CA6">
        <w:t>,</w:t>
      </w:r>
      <w:r w:rsidRPr="00DF6371">
        <w:t xml:space="preserve"> analysis and evaluation</w:t>
      </w:r>
      <w:r w:rsidR="00821CA6">
        <w:t>,</w:t>
      </w:r>
      <w:r w:rsidRPr="00DF6371">
        <w:t xml:space="preserve"> and application. Generally, there was improvement in task </w:t>
      </w:r>
      <w:r w:rsidR="004D59AE" w:rsidRPr="00DF6371">
        <w:t>design;</w:t>
      </w:r>
      <w:r w:rsidRPr="00DF6371">
        <w:t xml:space="preserve"> however, teachers are encouraged to ensure </w:t>
      </w:r>
      <w:r w:rsidR="0054076D">
        <w:t xml:space="preserve">that </w:t>
      </w:r>
      <w:r w:rsidRPr="00DF6371">
        <w:t>students have the opportunity to meet the performance standards on more than one occasion.</w:t>
      </w:r>
    </w:p>
    <w:p w:rsidR="002D74ED" w:rsidRDefault="003D6BFB" w:rsidP="003D6BFB">
      <w:pPr>
        <w:pStyle w:val="BodyText1"/>
      </w:pPr>
      <w:r>
        <w:t>Folio</w:t>
      </w:r>
      <w:r w:rsidR="00C96D9B" w:rsidRPr="00DF6371">
        <w:t xml:space="preserve">s that covered </w:t>
      </w:r>
      <w:r w:rsidR="002D74ED">
        <w:t xml:space="preserve">a variety of </w:t>
      </w:r>
      <w:r w:rsidR="00C96D9B" w:rsidRPr="00DF6371">
        <w:t>topics provided</w:t>
      </w:r>
      <w:r w:rsidR="00C96D9B" w:rsidRPr="00580317">
        <w:t xml:space="preserve"> students with the opportunity to demonstrate their knowledge and </w:t>
      </w:r>
      <w:r w:rsidR="00EA2C99" w:rsidRPr="00580317">
        <w:t>understanding</w:t>
      </w:r>
      <w:r w:rsidR="00C96D9B" w:rsidRPr="00580317">
        <w:t xml:space="preserve"> </w:t>
      </w:r>
      <w:r w:rsidR="002D74ED">
        <w:t>in depth.</w:t>
      </w:r>
      <w:r w:rsidR="00C96D9B" w:rsidRPr="00580317">
        <w:t xml:space="preserve"> </w:t>
      </w:r>
      <w:r w:rsidR="002D74ED">
        <w:t>I</w:t>
      </w:r>
      <w:r w:rsidR="00C96D9B" w:rsidRPr="00580317">
        <w:t>n particu</w:t>
      </w:r>
      <w:r>
        <w:t xml:space="preserve">lar, </w:t>
      </w:r>
      <w:r w:rsidR="002D74ED">
        <w:t xml:space="preserve">those that </w:t>
      </w:r>
      <w:r>
        <w:t>allow</w:t>
      </w:r>
      <w:r w:rsidR="002D74ED">
        <w:t>ed</w:t>
      </w:r>
      <w:r w:rsidR="00580317" w:rsidRPr="00580317">
        <w:t xml:space="preserve"> research and engagement</w:t>
      </w:r>
      <w:r w:rsidR="00C96D9B" w:rsidRPr="00580317">
        <w:t xml:space="preserve"> with small to medium business in Australia also provided the opportunity to </w:t>
      </w:r>
      <w:r>
        <w:t>analyse</w:t>
      </w:r>
      <w:r w:rsidR="00C96D9B" w:rsidRPr="00580317">
        <w:t xml:space="preserve"> and evaluate </w:t>
      </w:r>
      <w:r w:rsidR="002D74ED">
        <w:t>with meaningful responses</w:t>
      </w:r>
      <w:r w:rsidR="00580317" w:rsidRPr="00580317">
        <w:t>.</w:t>
      </w:r>
    </w:p>
    <w:p w:rsidR="00C96D9B" w:rsidRPr="00580317" w:rsidRDefault="00580317" w:rsidP="003D6BFB">
      <w:pPr>
        <w:pStyle w:val="BodyText1"/>
      </w:pPr>
      <w:r w:rsidRPr="00580317">
        <w:t>Many schools complete</w:t>
      </w:r>
      <w:r w:rsidR="00C96D9B" w:rsidRPr="00580317">
        <w:t xml:space="preserve"> a test, which generally provides students the opportunity to respond to extended</w:t>
      </w:r>
      <w:r w:rsidR="0054076D">
        <w:t>-</w:t>
      </w:r>
      <w:r w:rsidR="00C96D9B" w:rsidRPr="00580317">
        <w:t>response questions</w:t>
      </w:r>
      <w:r w:rsidR="002D74ED">
        <w:t>.</w:t>
      </w:r>
      <w:r w:rsidR="00C96D9B" w:rsidRPr="00580317">
        <w:t xml:space="preserve"> Of particular note</w:t>
      </w:r>
      <w:r w:rsidR="00DE31E2">
        <w:t>,</w:t>
      </w:r>
      <w:r w:rsidR="00C96D9B" w:rsidRPr="00580317">
        <w:t xml:space="preserve"> tests that linked </w:t>
      </w:r>
      <w:r w:rsidR="00C96D9B" w:rsidRPr="00580317">
        <w:lastRenderedPageBreak/>
        <w:t xml:space="preserve">questions to industries provided students with more opportunity to analyse and evaluate. Teachers are encouraged to ensure that materials are up to date and reflective of what is currently happening in Australia, in particular </w:t>
      </w:r>
      <w:r w:rsidR="002D74ED">
        <w:t xml:space="preserve">with respect to </w:t>
      </w:r>
      <w:r w:rsidR="00C96D9B" w:rsidRPr="00580317">
        <w:t>new laws.</w:t>
      </w:r>
    </w:p>
    <w:p w:rsidR="001B1E9F" w:rsidRPr="00580317" w:rsidRDefault="001B1E9F" w:rsidP="001B1E9F">
      <w:pPr>
        <w:pStyle w:val="BodyText1"/>
      </w:pPr>
      <w:r w:rsidRPr="00580317">
        <w:t>Please refer to the 2015 Business and Enterprise subject outline for more information on Assessment Type 1: Folio.</w:t>
      </w:r>
    </w:p>
    <w:p w:rsidR="001A0F23" w:rsidRPr="00C16A7F" w:rsidRDefault="001A0F23" w:rsidP="00C16A7F">
      <w:pPr>
        <w:pStyle w:val="AssessmentTypeHeading"/>
      </w:pPr>
      <w:r w:rsidRPr="003C7581">
        <w:t xml:space="preserve">Assessment Type 2: </w:t>
      </w:r>
      <w:r w:rsidR="00C16A7F">
        <w:t>Practical</w:t>
      </w:r>
    </w:p>
    <w:p w:rsidR="009B43FA" w:rsidRPr="00580317" w:rsidRDefault="009B43FA" w:rsidP="00C16A7F">
      <w:pPr>
        <w:pStyle w:val="BodyText1"/>
      </w:pPr>
      <w:r w:rsidRPr="00580317">
        <w:t>The weighting of the practical is 30% for a 10-credit subject and 20% for a 2</w:t>
      </w:r>
      <w:r w:rsidR="002D74ED">
        <w:t>0-</w:t>
      </w:r>
      <w:r w:rsidRPr="00580317">
        <w:t>credit subject. The practical is part of the school assessment component for both a 1</w:t>
      </w:r>
      <w:r w:rsidR="002D74ED">
        <w:t>0</w:t>
      </w:r>
      <w:r w:rsidR="0054076D">
        <w:noBreakHyphen/>
      </w:r>
      <w:r w:rsidRPr="00580317">
        <w:t xml:space="preserve">credit subject and </w:t>
      </w:r>
      <w:r w:rsidR="0054076D">
        <w:t xml:space="preserve">a </w:t>
      </w:r>
      <w:r w:rsidRPr="00580317">
        <w:t>20-</w:t>
      </w:r>
      <w:r w:rsidR="002D74ED">
        <w:t>credit</w:t>
      </w:r>
      <w:r w:rsidRPr="00580317">
        <w:t xml:space="preserve"> subject. Students undertake one practical for a 10</w:t>
      </w:r>
      <w:r w:rsidR="0054076D">
        <w:noBreakHyphen/>
      </w:r>
      <w:r w:rsidRPr="00580317">
        <w:t>credit subject and at least one practical for a 20-credit subject. Each practical is derived from an option topic. Students inquire, analyse, plan</w:t>
      </w:r>
      <w:r w:rsidR="0054076D">
        <w:t>,</w:t>
      </w:r>
      <w:r w:rsidRPr="00580317">
        <w:t xml:space="preserve"> and undertake the assessment on a focus of particular interest in their selected option topic(s). For this assessment type, students provide evidence of their learning primarily in relation to the following assessment design criteria:</w:t>
      </w:r>
    </w:p>
    <w:p w:rsidR="009B43FA" w:rsidRPr="00580317" w:rsidRDefault="0054076D" w:rsidP="00DE31E2">
      <w:pPr>
        <w:pStyle w:val="dotpoints"/>
      </w:pPr>
      <w:r>
        <w:t>k</w:t>
      </w:r>
      <w:r w:rsidR="009B43FA" w:rsidRPr="00580317">
        <w:t>nowledge and understanding</w:t>
      </w:r>
    </w:p>
    <w:p w:rsidR="009B43FA" w:rsidRPr="00580317" w:rsidRDefault="0054076D" w:rsidP="00DE31E2">
      <w:pPr>
        <w:pStyle w:val="dotpoints"/>
      </w:pPr>
      <w:r>
        <w:t>c</w:t>
      </w:r>
      <w:r w:rsidR="009B43FA" w:rsidRPr="00580317">
        <w:t>ommunication</w:t>
      </w:r>
    </w:p>
    <w:p w:rsidR="009B43FA" w:rsidRPr="00580317" w:rsidRDefault="0054076D" w:rsidP="00DE31E2">
      <w:pPr>
        <w:pStyle w:val="dotpoints"/>
      </w:pPr>
      <w:proofErr w:type="gramStart"/>
      <w:r>
        <w:t>a</w:t>
      </w:r>
      <w:r w:rsidR="009B43FA" w:rsidRPr="00580317">
        <w:t>pplication</w:t>
      </w:r>
      <w:proofErr w:type="gramEnd"/>
      <w:r>
        <w:t>.</w:t>
      </w:r>
    </w:p>
    <w:p w:rsidR="00D12B5F" w:rsidRDefault="00EA2C99" w:rsidP="00B63060">
      <w:pPr>
        <w:pStyle w:val="BodyText1"/>
      </w:pPr>
      <w:r w:rsidRPr="00580317">
        <w:t xml:space="preserve">It is pleasing to note </w:t>
      </w:r>
      <w:r w:rsidR="00BA1255">
        <w:t xml:space="preserve">that </w:t>
      </w:r>
      <w:r w:rsidRPr="00580317">
        <w:t xml:space="preserve">there has been an improvement in the task design of the practical. </w:t>
      </w:r>
    </w:p>
    <w:p w:rsidR="00EA2C99" w:rsidRPr="00580317" w:rsidRDefault="00B63060" w:rsidP="002C28B3">
      <w:pPr>
        <w:pStyle w:val="BodyText1"/>
      </w:pPr>
      <w:r>
        <w:t>The more successful</w:t>
      </w:r>
      <w:r w:rsidR="00EA2C99" w:rsidRPr="00580317">
        <w:t xml:space="preserve"> practicals included students creating their own products</w:t>
      </w:r>
      <w:r w:rsidR="009E2689">
        <w:t>,</w:t>
      </w:r>
      <w:r w:rsidR="0054076D">
        <w:t xml:space="preserve"> </w:t>
      </w:r>
      <w:r w:rsidR="00EA2C99" w:rsidRPr="00580317">
        <w:t>or us</w:t>
      </w:r>
      <w:r w:rsidR="001B1E9F">
        <w:t>ing</w:t>
      </w:r>
      <w:r w:rsidR="009E2689">
        <w:t xml:space="preserve"> </w:t>
      </w:r>
      <w:r w:rsidR="001B1E9F">
        <w:t>an</w:t>
      </w:r>
      <w:r w:rsidR="00EA2C99" w:rsidRPr="00580317">
        <w:t xml:space="preserve"> existing compan</w:t>
      </w:r>
      <w:r w:rsidR="001B1E9F">
        <w:t>y’s</w:t>
      </w:r>
      <w:r w:rsidR="00EA2C99" w:rsidRPr="00580317">
        <w:t xml:space="preserve"> </w:t>
      </w:r>
      <w:r w:rsidR="00D12B5F">
        <w:t>name</w:t>
      </w:r>
      <w:r w:rsidR="001B1E9F">
        <w:t xml:space="preserve"> to </w:t>
      </w:r>
      <w:r w:rsidR="00EA2C99" w:rsidRPr="00580317">
        <w:t>introduc</w:t>
      </w:r>
      <w:r w:rsidR="001B1E9F">
        <w:t>e</w:t>
      </w:r>
      <w:r w:rsidR="00EA2C99" w:rsidRPr="00580317">
        <w:t xml:space="preserve"> a new product (</w:t>
      </w:r>
      <w:r w:rsidR="002C28B3">
        <w:t>that does not</w:t>
      </w:r>
      <w:r w:rsidR="00EA2C99" w:rsidRPr="00580317">
        <w:t xml:space="preserve"> exist)</w:t>
      </w:r>
      <w:r w:rsidR="009E2689">
        <w:t>. This</w:t>
      </w:r>
      <w:r w:rsidR="00EA2C99" w:rsidRPr="00580317">
        <w:t xml:space="preserve"> provided students with a base to work on and use their own</w:t>
      </w:r>
      <w:r w:rsidR="006D56E4">
        <w:t xml:space="preserve"> ideas</w:t>
      </w:r>
      <w:r w:rsidR="009E2689">
        <w:t xml:space="preserve"> which often involved</w:t>
      </w:r>
      <w:r w:rsidR="006D56E4">
        <w:t xml:space="preserve"> marketing a product</w:t>
      </w:r>
      <w:r w:rsidR="009E2689">
        <w:t xml:space="preserve"> or </w:t>
      </w:r>
      <w:r w:rsidR="00EA2C99" w:rsidRPr="00580317">
        <w:t xml:space="preserve">running </w:t>
      </w:r>
      <w:r w:rsidR="009E2689">
        <w:t xml:space="preserve">an </w:t>
      </w:r>
      <w:r w:rsidR="00EA2C99" w:rsidRPr="00580317">
        <w:t>enterprise.</w:t>
      </w:r>
      <w:r w:rsidR="00580317" w:rsidRPr="00580317">
        <w:t xml:space="preserve"> Teachers are encouraged to ensure </w:t>
      </w:r>
      <w:r w:rsidR="00D86A47">
        <w:t xml:space="preserve">that </w:t>
      </w:r>
      <w:r w:rsidR="00580317" w:rsidRPr="00580317">
        <w:t>the task provides students with the opportunity to effectively apply business theory to current practices.</w:t>
      </w:r>
    </w:p>
    <w:p w:rsidR="00EA2C99" w:rsidRPr="00580317" w:rsidRDefault="00EA2C99" w:rsidP="006D56E4">
      <w:pPr>
        <w:pStyle w:val="BodyText1"/>
      </w:pPr>
      <w:r w:rsidRPr="00580317">
        <w:t xml:space="preserve">Of concern were practicals </w:t>
      </w:r>
      <w:r w:rsidR="006D56E4">
        <w:t xml:space="preserve">that </w:t>
      </w:r>
      <w:r w:rsidRPr="00580317">
        <w:t xml:space="preserve">were completed in groups. Teachers and students </w:t>
      </w:r>
      <w:r w:rsidR="001B1E9F">
        <w:t>should</w:t>
      </w:r>
      <w:r w:rsidRPr="00580317">
        <w:t xml:space="preserve"> clearly identify which student completed </w:t>
      </w:r>
      <w:r w:rsidR="006D56E4">
        <w:t>which</w:t>
      </w:r>
      <w:r w:rsidRPr="00580317">
        <w:t xml:space="preserve"> components</w:t>
      </w:r>
      <w:r w:rsidR="006D56E4">
        <w:t>,</w:t>
      </w:r>
      <w:r w:rsidRPr="00580317">
        <w:t xml:space="preserve"> and </w:t>
      </w:r>
      <w:r w:rsidR="00D86A47">
        <w:t xml:space="preserve">teachers must </w:t>
      </w:r>
      <w:r w:rsidRPr="00580317">
        <w:t xml:space="preserve">award grades appropriate to each student. Each student should </w:t>
      </w:r>
      <w:r w:rsidR="006D56E4">
        <w:t>submit</w:t>
      </w:r>
      <w:r w:rsidRPr="00580317">
        <w:t xml:space="preserve"> their own piece of work</w:t>
      </w:r>
      <w:r w:rsidR="006D56E4">
        <w:t>, including all evidence,</w:t>
      </w:r>
      <w:r w:rsidRPr="00580317">
        <w:t xml:space="preserve"> rather than a group package.</w:t>
      </w:r>
    </w:p>
    <w:p w:rsidR="00031019" w:rsidRPr="00580317" w:rsidRDefault="00031019" w:rsidP="00C16A7F">
      <w:pPr>
        <w:pStyle w:val="BodyText1"/>
      </w:pPr>
      <w:r w:rsidRPr="00580317">
        <w:t>Many students used technology extremely well</w:t>
      </w:r>
      <w:r w:rsidR="00136B1E">
        <w:t>,</w:t>
      </w:r>
      <w:r w:rsidRPr="00580317">
        <w:t xml:space="preserve"> with the generation of marketing tasks using high</w:t>
      </w:r>
      <w:r w:rsidR="00136B1E">
        <w:t>-</w:t>
      </w:r>
      <w:r w:rsidR="009E2689">
        <w:t xml:space="preserve">end </w:t>
      </w:r>
      <w:r w:rsidRPr="00580317">
        <w:t xml:space="preserve">graphics programs </w:t>
      </w:r>
      <w:r w:rsidR="009E2689">
        <w:t xml:space="preserve">and </w:t>
      </w:r>
      <w:r w:rsidRPr="00580317">
        <w:t xml:space="preserve">the creation of </w:t>
      </w:r>
      <w:r w:rsidR="009E2689">
        <w:t>efficient</w:t>
      </w:r>
      <w:r w:rsidR="009E2689" w:rsidRPr="00580317">
        <w:t xml:space="preserve"> </w:t>
      </w:r>
      <w:r w:rsidRPr="00580317">
        <w:t>websites.</w:t>
      </w:r>
    </w:p>
    <w:p w:rsidR="00C96D9B" w:rsidRPr="00580317" w:rsidRDefault="00031019" w:rsidP="00C16A7F">
      <w:pPr>
        <w:pStyle w:val="BodyText1"/>
      </w:pPr>
      <w:r w:rsidRPr="00580317">
        <w:t>Word</w:t>
      </w:r>
      <w:r w:rsidR="00EB3A73">
        <w:t xml:space="preserve"> </w:t>
      </w:r>
      <w:r w:rsidRPr="00580317">
        <w:t xml:space="preserve">count </w:t>
      </w:r>
      <w:proofErr w:type="gramStart"/>
      <w:r w:rsidRPr="00580317">
        <w:t>was again highlighted</w:t>
      </w:r>
      <w:proofErr w:type="gramEnd"/>
      <w:r w:rsidRPr="00580317">
        <w:t xml:space="preserve"> as a concern in the practical. Teachers </w:t>
      </w:r>
      <w:r w:rsidR="00AD136E">
        <w:t>should</w:t>
      </w:r>
      <w:r w:rsidRPr="00580317">
        <w:t xml:space="preserve"> adhere to the </w:t>
      </w:r>
      <w:r w:rsidR="00290129">
        <w:t>SACE Board word</w:t>
      </w:r>
      <w:r w:rsidR="00136B1E">
        <w:t>-</w:t>
      </w:r>
      <w:r w:rsidR="00290129">
        <w:t>count p</w:t>
      </w:r>
      <w:r w:rsidRPr="00290129">
        <w:t>olicy</w:t>
      </w:r>
      <w:r w:rsidR="006D56E4" w:rsidRPr="00290129">
        <w:t>,</w:t>
      </w:r>
      <w:r w:rsidR="006D56E4">
        <w:t xml:space="preserve"> in particular, </w:t>
      </w:r>
      <w:r w:rsidR="009E2689">
        <w:t xml:space="preserve">in </w:t>
      </w:r>
      <w:r w:rsidRPr="00580317">
        <w:t xml:space="preserve">the use of </w:t>
      </w:r>
      <w:r w:rsidR="00580317" w:rsidRPr="00580317">
        <w:t>multimodal</w:t>
      </w:r>
      <w:r w:rsidRPr="00580317">
        <w:t xml:space="preserve"> </w:t>
      </w:r>
      <w:r w:rsidR="009E2689">
        <w:t>presentations</w:t>
      </w:r>
      <w:r w:rsidR="0054731C">
        <w:t xml:space="preserve"> </w:t>
      </w:r>
      <w:r w:rsidR="00136B1E">
        <w:t>—</w:t>
      </w:r>
      <w:r w:rsidRPr="00580317">
        <w:t xml:space="preserve"> th</w:t>
      </w:r>
      <w:r w:rsidR="00DE295A">
        <w:t xml:space="preserve">e length of such presentations </w:t>
      </w:r>
      <w:proofErr w:type="gramStart"/>
      <w:r w:rsidRPr="00580317">
        <w:t xml:space="preserve">should be </w:t>
      </w:r>
      <w:r w:rsidR="00DE295A">
        <w:t>appropriately balanced</w:t>
      </w:r>
      <w:proofErr w:type="gramEnd"/>
      <w:r w:rsidR="00DE295A">
        <w:t xml:space="preserve"> with any written material so </w:t>
      </w:r>
      <w:r w:rsidR="005F4200">
        <w:t xml:space="preserve">that </w:t>
      </w:r>
      <w:r w:rsidR="00DE295A">
        <w:t>the combination</w:t>
      </w:r>
      <w:r w:rsidR="006D56E4">
        <w:t xml:space="preserve"> conforms to </w:t>
      </w:r>
      <w:r w:rsidR="009E2689">
        <w:t>SACE</w:t>
      </w:r>
      <w:r w:rsidR="00821CA6">
        <w:t xml:space="preserve"> </w:t>
      </w:r>
      <w:r w:rsidR="006D56E4">
        <w:t>p</w:t>
      </w:r>
      <w:r w:rsidRPr="00580317">
        <w:t>olicy.</w:t>
      </w:r>
    </w:p>
    <w:p w:rsidR="001B1E9F" w:rsidRPr="00580317" w:rsidRDefault="001B1E9F" w:rsidP="001B1E9F">
      <w:pPr>
        <w:pStyle w:val="BodyText1"/>
      </w:pPr>
      <w:r w:rsidRPr="00580317">
        <w:t>Please refer to the 2015 Business and Enterprise subject outline for more information on Assessment Type 2: Practical</w:t>
      </w:r>
      <w:r>
        <w:t>.</w:t>
      </w:r>
    </w:p>
    <w:p w:rsidR="001B1E9F" w:rsidRDefault="001B1E9F" w:rsidP="001B1E9F">
      <w:pPr>
        <w:pStyle w:val="BodyText1"/>
      </w:pPr>
      <w:r w:rsidRPr="00580317">
        <w:t>The practical is a developing assessment component and</w:t>
      </w:r>
      <w:r>
        <w:t xml:space="preserve"> </w:t>
      </w:r>
      <w:r w:rsidRPr="00580317">
        <w:t xml:space="preserve">teachers are advised to ensure </w:t>
      </w:r>
      <w:r>
        <w:t xml:space="preserve">that </w:t>
      </w:r>
      <w:r w:rsidRPr="00580317">
        <w:t>they are familiar with the changes outlined in the 2015 Business and Enterprise</w:t>
      </w:r>
      <w:r>
        <w:t xml:space="preserve"> subject outline</w:t>
      </w:r>
      <w:r w:rsidRPr="00580317">
        <w:t xml:space="preserve">. </w:t>
      </w:r>
      <w:r>
        <w:t xml:space="preserve">(These changes </w:t>
      </w:r>
      <w:proofErr w:type="gramStart"/>
      <w:r>
        <w:t>are outlined</w:t>
      </w:r>
      <w:proofErr w:type="gramEnd"/>
      <w:r>
        <w:t xml:space="preserve"> in the ‘Summary of Subject Outline Changes 2015’ document, which can be found on the Business and Enterprise </w:t>
      </w:r>
      <w:proofErr w:type="spellStart"/>
      <w:r>
        <w:t>minisite</w:t>
      </w:r>
      <w:proofErr w:type="spellEnd"/>
      <w:r w:rsidR="00DE295A">
        <w:t>)</w:t>
      </w:r>
      <w:r w:rsidR="00784959">
        <w:t>.</w:t>
      </w:r>
    </w:p>
    <w:p w:rsidR="00EB022B" w:rsidRDefault="001A0F23">
      <w:pPr>
        <w:pStyle w:val="AssessmentTypeHeading"/>
      </w:pPr>
      <w:r w:rsidRPr="00C16A7F">
        <w:lastRenderedPageBreak/>
        <w:t>Assessment</w:t>
      </w:r>
      <w:r w:rsidRPr="00D108CB">
        <w:t xml:space="preserve"> Type 3:</w:t>
      </w:r>
      <w:r w:rsidRPr="00F02D47">
        <w:t xml:space="preserve"> </w:t>
      </w:r>
      <w:r w:rsidR="00C16A7F">
        <w:t>Issues Study</w:t>
      </w:r>
    </w:p>
    <w:p w:rsidR="009B43FA" w:rsidRPr="00580317" w:rsidRDefault="009B43FA" w:rsidP="006D56E4">
      <w:pPr>
        <w:pStyle w:val="BodyText1"/>
      </w:pPr>
      <w:r w:rsidRPr="00580317">
        <w:t xml:space="preserve">The issues study is weighted at 30% for a 10-credit subject; the weighting for a 20-credit subject is 20%. The issues study is the </w:t>
      </w:r>
      <w:r w:rsidR="008A3E1E" w:rsidRPr="008A3E1E">
        <w:rPr>
          <w:i/>
        </w:rPr>
        <w:t xml:space="preserve">external assessment </w:t>
      </w:r>
      <w:r w:rsidRPr="00C12A14">
        <w:t xml:space="preserve">component </w:t>
      </w:r>
      <w:r w:rsidRPr="00580317">
        <w:t xml:space="preserve">for a 10-credit subject. It is part of the </w:t>
      </w:r>
      <w:r w:rsidR="008A3E1E" w:rsidRPr="008A3E1E">
        <w:rPr>
          <w:i/>
        </w:rPr>
        <w:t>school assessment</w:t>
      </w:r>
      <w:r w:rsidRPr="00580317">
        <w:t xml:space="preserve"> component for a 20-credit subject. For both a 10-credit subject and 20-credit subject, students undertake one issues study in which they identify and investigate a theme, development, or current issue in business and enterprise. The issues study should be</w:t>
      </w:r>
      <w:r w:rsidR="006D56E4">
        <w:t xml:space="preserve"> a</w:t>
      </w:r>
      <w:r w:rsidRPr="00580317">
        <w:t xml:space="preserve"> clear, concise and polished piece of writing </w:t>
      </w:r>
      <w:r w:rsidR="006D56E4">
        <w:t>up to</w:t>
      </w:r>
      <w:r w:rsidRPr="00580317">
        <w:t xml:space="preserve"> a maximum of 1000 words for a 10-credit subject, and a maximum of 1500 words for a 20-credit subject. For this assessment type, students provide evidence of their learning primarily in relation to the following assessment design criteria:</w:t>
      </w:r>
    </w:p>
    <w:p w:rsidR="009B43FA" w:rsidRPr="00580317" w:rsidRDefault="00B229F1" w:rsidP="006D56E4">
      <w:pPr>
        <w:pStyle w:val="dotpoints"/>
      </w:pPr>
      <w:r>
        <w:t>k</w:t>
      </w:r>
      <w:r w:rsidR="009B43FA" w:rsidRPr="00580317">
        <w:t>nowledge and understanding</w:t>
      </w:r>
    </w:p>
    <w:p w:rsidR="009B43FA" w:rsidRPr="00580317" w:rsidRDefault="00B229F1" w:rsidP="006D56E4">
      <w:pPr>
        <w:pStyle w:val="dotpoints"/>
      </w:pPr>
      <w:r>
        <w:t>a</w:t>
      </w:r>
      <w:r w:rsidR="009B43FA" w:rsidRPr="00580317">
        <w:t>nalysis and evaluation</w:t>
      </w:r>
    </w:p>
    <w:p w:rsidR="009B43FA" w:rsidRPr="00580317" w:rsidRDefault="00B229F1" w:rsidP="006D56E4">
      <w:pPr>
        <w:pStyle w:val="dotpoints"/>
      </w:pPr>
      <w:proofErr w:type="gramStart"/>
      <w:r>
        <w:t>c</w:t>
      </w:r>
      <w:r w:rsidR="009B43FA" w:rsidRPr="00580317">
        <w:t>ommunication</w:t>
      </w:r>
      <w:proofErr w:type="gramEnd"/>
      <w:r>
        <w:t>.</w:t>
      </w:r>
    </w:p>
    <w:p w:rsidR="00031019" w:rsidRPr="00580317" w:rsidRDefault="00031019" w:rsidP="00290129">
      <w:pPr>
        <w:pStyle w:val="BodyText1"/>
      </w:pPr>
      <w:r w:rsidRPr="00580317">
        <w:t xml:space="preserve">The </w:t>
      </w:r>
      <w:r w:rsidR="00290129">
        <w:t>issues studies</w:t>
      </w:r>
      <w:r w:rsidRPr="00580317">
        <w:t xml:space="preserve"> were generally completed well. </w:t>
      </w:r>
      <w:r w:rsidR="00290129">
        <w:t>The more successful</w:t>
      </w:r>
      <w:r w:rsidRPr="00580317">
        <w:t xml:space="preserve"> tasks clearly outlined</w:t>
      </w:r>
      <w:r w:rsidR="00B229F1">
        <w:t xml:space="preserve"> or </w:t>
      </w:r>
      <w:r w:rsidRPr="00580317">
        <w:t>identified a statement</w:t>
      </w:r>
      <w:r w:rsidR="00B229F1">
        <w:t xml:space="preserve"> or </w:t>
      </w:r>
      <w:r w:rsidRPr="00580317">
        <w:t>research question and related to an industry relevant to the students</w:t>
      </w:r>
      <w:r w:rsidR="00290129">
        <w:t>’</w:t>
      </w:r>
      <w:r w:rsidRPr="00580317">
        <w:t xml:space="preserve"> local area. </w:t>
      </w:r>
      <w:r w:rsidR="00290129">
        <w:t>In cases where</w:t>
      </w:r>
      <w:r w:rsidRPr="00580317">
        <w:t xml:space="preserve"> students had the opportunity to </w:t>
      </w:r>
      <w:r w:rsidR="00B229F1">
        <w:t>choose</w:t>
      </w:r>
      <w:r w:rsidRPr="00580317">
        <w:t xml:space="preserve"> their own issue or had a variety </w:t>
      </w:r>
      <w:r w:rsidR="00B229F1">
        <w:t xml:space="preserve">of issues </w:t>
      </w:r>
      <w:r w:rsidRPr="00580317">
        <w:t>to select from</w:t>
      </w:r>
      <w:r w:rsidR="00580317" w:rsidRPr="00580317">
        <w:t>,</w:t>
      </w:r>
      <w:r w:rsidRPr="00580317">
        <w:t xml:space="preserve"> they demonstrated a higher level of analysis and evaluation.</w:t>
      </w:r>
    </w:p>
    <w:p w:rsidR="00031019" w:rsidRPr="00580317" w:rsidRDefault="00031019" w:rsidP="00C16A7F">
      <w:pPr>
        <w:pStyle w:val="BodyText1"/>
      </w:pPr>
      <w:r w:rsidRPr="00580317">
        <w:t>It was noted that there were several issues undertaken by students which were not relevant to Australian businesses. Students ar</w:t>
      </w:r>
      <w:r w:rsidR="00580317" w:rsidRPr="00580317">
        <w:t>e encouraged to select an issue</w:t>
      </w:r>
      <w:r w:rsidRPr="00580317">
        <w:t xml:space="preserve"> that is recent and relevant to the Australian business environment. Students who accessed primary sources were able to demonstrate </w:t>
      </w:r>
      <w:r w:rsidR="009E2689">
        <w:t>a depth</w:t>
      </w:r>
      <w:r w:rsidRPr="00580317">
        <w:t xml:space="preserve"> of knowledge and understanding</w:t>
      </w:r>
      <w:r w:rsidR="00B229F1">
        <w:t>,</w:t>
      </w:r>
      <w:r w:rsidRPr="00580317">
        <w:t xml:space="preserve"> and analysis and evaluation. It was also highlighted that the presentation of </w:t>
      </w:r>
      <w:r w:rsidR="00580317" w:rsidRPr="00580317">
        <w:t xml:space="preserve">the </w:t>
      </w:r>
      <w:r w:rsidRPr="00580317">
        <w:t>issues studies was generally pleasing and included a variety of styles from reports to essays, which are all within the parameters of the subject outline.</w:t>
      </w:r>
    </w:p>
    <w:p w:rsidR="001B1E9F" w:rsidRPr="00580317" w:rsidRDefault="001B1E9F" w:rsidP="001B1E9F">
      <w:pPr>
        <w:pStyle w:val="BodyText1"/>
      </w:pPr>
      <w:r w:rsidRPr="00580317">
        <w:t>Please refer to the 2015 Business and Enterprise subject outline for more information on Assessment Type 3: Issues Study.</w:t>
      </w:r>
    </w:p>
    <w:p w:rsidR="001A0F23" w:rsidRPr="006E51DA" w:rsidRDefault="00532959">
      <w:pPr>
        <w:pStyle w:val="Heading2"/>
      </w:pPr>
      <w:r w:rsidRPr="006E51DA">
        <w:t>External Assessment</w:t>
      </w:r>
    </w:p>
    <w:p w:rsidR="00CC1BC2" w:rsidRPr="00CC1BC2" w:rsidRDefault="001A0F23" w:rsidP="00C16A7F">
      <w:pPr>
        <w:pStyle w:val="AssessmentTypeHeading"/>
        <w:rPr>
          <w:rFonts w:ascii="Arial" w:eastAsia="Adobe Myungjo Std M" w:hAnsi="Arial"/>
          <w:b w:val="0"/>
        </w:rPr>
      </w:pPr>
      <w:r w:rsidRPr="00D108CB">
        <w:t xml:space="preserve">Assessment Type 4: </w:t>
      </w:r>
      <w:r w:rsidR="00C16A7F">
        <w:t>Report</w:t>
      </w:r>
    </w:p>
    <w:p w:rsidR="00EB022B" w:rsidRDefault="00B229F1">
      <w:pPr>
        <w:pStyle w:val="BodyText1"/>
      </w:pPr>
      <w:r w:rsidRPr="00B953E9">
        <w:t xml:space="preserve">The report </w:t>
      </w:r>
      <w:r>
        <w:t xml:space="preserve">applies only to the </w:t>
      </w:r>
      <w:r w:rsidRPr="00B953E9">
        <w:t>20-credit subject</w:t>
      </w:r>
      <w:r>
        <w:t xml:space="preserve"> and is</w:t>
      </w:r>
      <w:r w:rsidRPr="00B953E9">
        <w:t xml:space="preserve"> weighted at 30%</w:t>
      </w:r>
      <w:r>
        <w:t>.</w:t>
      </w:r>
    </w:p>
    <w:p w:rsidR="00CC1BC2" w:rsidRDefault="00CC1BC2" w:rsidP="00C427DB">
      <w:pPr>
        <w:rPr>
          <w:rFonts w:ascii="Arial" w:eastAsia="Adobe Myungjo Std M" w:hAnsi="Arial" w:cs="Arial"/>
        </w:rPr>
      </w:pPr>
      <w:r w:rsidRPr="00CC1BC2">
        <w:rPr>
          <w:rFonts w:ascii="Arial" w:eastAsia="Adobe Myungjo Std M" w:hAnsi="Arial" w:cs="Arial"/>
        </w:rPr>
        <w:t>The word</w:t>
      </w:r>
      <w:r w:rsidR="00B229F1">
        <w:rPr>
          <w:rFonts w:ascii="Arial" w:eastAsia="Adobe Myungjo Std M" w:hAnsi="Arial" w:cs="Arial"/>
        </w:rPr>
        <w:t>-</w:t>
      </w:r>
      <w:r w:rsidRPr="00CC1BC2">
        <w:rPr>
          <w:rFonts w:ascii="Arial" w:eastAsia="Adobe Myungjo Std M" w:hAnsi="Arial" w:cs="Arial"/>
        </w:rPr>
        <w:t>count co</w:t>
      </w:r>
      <w:r w:rsidR="00290129">
        <w:rPr>
          <w:rFonts w:ascii="Arial" w:eastAsia="Adobe Myungjo Std M" w:hAnsi="Arial" w:cs="Arial"/>
        </w:rPr>
        <w:t>ntinues to be an issue in this assessment t</w:t>
      </w:r>
      <w:r w:rsidRPr="00CC1BC2">
        <w:rPr>
          <w:rFonts w:ascii="Arial" w:eastAsia="Adobe Myungjo Std M" w:hAnsi="Arial" w:cs="Arial"/>
        </w:rPr>
        <w:t>ype</w:t>
      </w:r>
      <w:r w:rsidR="00B229F1">
        <w:rPr>
          <w:rFonts w:ascii="Arial" w:eastAsia="Adobe Myungjo Std M" w:hAnsi="Arial" w:cs="Arial"/>
        </w:rPr>
        <w:t>,</w:t>
      </w:r>
      <w:r w:rsidRPr="00CC1BC2">
        <w:rPr>
          <w:rFonts w:ascii="Arial" w:eastAsia="Adobe Myungjo Std M" w:hAnsi="Arial" w:cs="Arial"/>
        </w:rPr>
        <w:t xml:space="preserve"> with many reports significantly in excess of the required word</w:t>
      </w:r>
      <w:r w:rsidR="00B229F1">
        <w:rPr>
          <w:rFonts w:ascii="Arial" w:eastAsia="Adobe Myungjo Std M" w:hAnsi="Arial" w:cs="Arial"/>
        </w:rPr>
        <w:t>-</w:t>
      </w:r>
      <w:r w:rsidRPr="00CC1BC2">
        <w:rPr>
          <w:rFonts w:ascii="Arial" w:eastAsia="Adobe Myungjo Std M" w:hAnsi="Arial" w:cs="Arial"/>
        </w:rPr>
        <w:t>limit.</w:t>
      </w:r>
      <w:r w:rsidR="00821CA6">
        <w:rPr>
          <w:rFonts w:ascii="Arial" w:eastAsia="Adobe Myungjo Std M" w:hAnsi="Arial" w:cs="Arial"/>
        </w:rPr>
        <w:t xml:space="preserve"> </w:t>
      </w:r>
      <w:r w:rsidRPr="00CC1BC2">
        <w:rPr>
          <w:rFonts w:ascii="Arial" w:eastAsia="Adobe Myungjo Std M" w:hAnsi="Arial" w:cs="Arial"/>
        </w:rPr>
        <w:t xml:space="preserve">It is imperative that teachers and students are familiar with the </w:t>
      </w:r>
      <w:r w:rsidR="00290129" w:rsidRPr="00290129">
        <w:rPr>
          <w:rFonts w:ascii="Arial" w:eastAsia="Adobe Myungjo Std M" w:hAnsi="Arial" w:cs="Arial"/>
        </w:rPr>
        <w:t xml:space="preserve">SACE </w:t>
      </w:r>
      <w:r w:rsidR="00290129">
        <w:rPr>
          <w:rFonts w:ascii="Arial" w:eastAsia="Adobe Myungjo Std M" w:hAnsi="Arial" w:cs="Arial"/>
        </w:rPr>
        <w:t>w</w:t>
      </w:r>
      <w:r w:rsidR="00290129" w:rsidRPr="00290129">
        <w:rPr>
          <w:rFonts w:ascii="Arial" w:eastAsia="Adobe Myungjo Std M" w:hAnsi="Arial" w:cs="Arial"/>
        </w:rPr>
        <w:t>ord</w:t>
      </w:r>
      <w:r w:rsidR="00B229F1">
        <w:rPr>
          <w:rFonts w:ascii="Arial" w:eastAsia="Adobe Myungjo Std M" w:hAnsi="Arial" w:cs="Arial"/>
        </w:rPr>
        <w:t>-</w:t>
      </w:r>
      <w:r w:rsidR="00290129">
        <w:rPr>
          <w:rFonts w:ascii="Arial" w:eastAsia="Adobe Myungjo Std M" w:hAnsi="Arial" w:cs="Arial"/>
        </w:rPr>
        <w:t>c</w:t>
      </w:r>
      <w:r w:rsidRPr="00290129">
        <w:rPr>
          <w:rFonts w:ascii="Arial" w:eastAsia="Adobe Myungjo Std M" w:hAnsi="Arial" w:cs="Arial"/>
        </w:rPr>
        <w:t>ount policy</w:t>
      </w:r>
      <w:r w:rsidRPr="00CC1BC2">
        <w:rPr>
          <w:rFonts w:ascii="Arial" w:eastAsia="Adobe Myungjo Std M" w:hAnsi="Arial" w:cs="Arial"/>
        </w:rPr>
        <w:t xml:space="preserve"> and consult the policy and the illustr</w:t>
      </w:r>
      <w:r w:rsidR="00C16A7F">
        <w:rPr>
          <w:rFonts w:ascii="Arial" w:eastAsia="Adobe Myungjo Std M" w:hAnsi="Arial" w:cs="Arial"/>
        </w:rPr>
        <w:t xml:space="preserve">ative example on the Business and Enterprise </w:t>
      </w:r>
      <w:proofErr w:type="spellStart"/>
      <w:r w:rsidR="00C16A7F">
        <w:rPr>
          <w:rFonts w:ascii="Arial" w:eastAsia="Adobe Myungjo Std M" w:hAnsi="Arial" w:cs="Arial"/>
        </w:rPr>
        <w:t>mini</w:t>
      </w:r>
      <w:r w:rsidR="00231498">
        <w:rPr>
          <w:rFonts w:ascii="Arial" w:eastAsia="Adobe Myungjo Std M" w:hAnsi="Arial" w:cs="Arial"/>
        </w:rPr>
        <w:t>site</w:t>
      </w:r>
      <w:proofErr w:type="spellEnd"/>
      <w:r w:rsidR="00231498">
        <w:rPr>
          <w:rFonts w:ascii="Arial" w:eastAsia="Adobe Myungjo Std M" w:hAnsi="Arial" w:cs="Arial"/>
        </w:rPr>
        <w:t>.</w:t>
      </w:r>
    </w:p>
    <w:p w:rsidR="00231498" w:rsidRPr="00CC1BC2" w:rsidRDefault="00231498" w:rsidP="00231498">
      <w:pPr>
        <w:rPr>
          <w:rFonts w:ascii="Arial" w:eastAsia="Adobe Myungjo Std M" w:hAnsi="Arial" w:cs="Arial"/>
        </w:rPr>
      </w:pPr>
    </w:p>
    <w:p w:rsidR="00CC1BC2" w:rsidRPr="00CC1BC2" w:rsidRDefault="00CC1BC2" w:rsidP="00CC1BC2">
      <w:pPr>
        <w:rPr>
          <w:rFonts w:ascii="Arial" w:eastAsia="Adobe Myungjo Std M" w:hAnsi="Arial" w:cs="Arial"/>
        </w:rPr>
      </w:pPr>
      <w:r w:rsidRPr="00CC1BC2">
        <w:rPr>
          <w:rFonts w:ascii="Arial" w:eastAsia="Adobe Myungjo Std M" w:hAnsi="Arial" w:cs="Arial"/>
        </w:rPr>
        <w:t>In ensuring word</w:t>
      </w:r>
      <w:r w:rsidR="00B229F1">
        <w:rPr>
          <w:rFonts w:ascii="Arial" w:eastAsia="Adobe Myungjo Std M" w:hAnsi="Arial" w:cs="Arial"/>
        </w:rPr>
        <w:t>-</w:t>
      </w:r>
      <w:r w:rsidRPr="00CC1BC2">
        <w:rPr>
          <w:rFonts w:ascii="Arial" w:eastAsia="Adobe Myungjo Std M" w:hAnsi="Arial" w:cs="Arial"/>
        </w:rPr>
        <w:t>count adherence, some students gave a running</w:t>
      </w:r>
      <w:r w:rsidR="00B229F1">
        <w:rPr>
          <w:rFonts w:ascii="Arial" w:eastAsia="Adobe Myungjo Std M" w:hAnsi="Arial" w:cs="Arial"/>
        </w:rPr>
        <w:t xml:space="preserve"> or </w:t>
      </w:r>
      <w:r w:rsidRPr="00CC1BC2">
        <w:rPr>
          <w:rFonts w:ascii="Arial" w:eastAsia="Adobe Myungjo Std M" w:hAnsi="Arial" w:cs="Arial"/>
        </w:rPr>
        <w:t>cumulative word</w:t>
      </w:r>
      <w:r w:rsidR="00E62480">
        <w:rPr>
          <w:rFonts w:ascii="Arial" w:eastAsia="Adobe Myungjo Std M" w:hAnsi="Arial" w:cs="Arial"/>
        </w:rPr>
        <w:t xml:space="preserve"> </w:t>
      </w:r>
      <w:r w:rsidRPr="00CC1BC2">
        <w:rPr>
          <w:rFonts w:ascii="Arial" w:eastAsia="Adobe Myungjo Std M" w:hAnsi="Arial" w:cs="Arial"/>
        </w:rPr>
        <w:t xml:space="preserve">count in the footer of their reports. </w:t>
      </w:r>
    </w:p>
    <w:p w:rsidR="00CC1BC2" w:rsidRPr="00CC1BC2" w:rsidRDefault="00CC1BC2" w:rsidP="00CC1BC2">
      <w:pPr>
        <w:rPr>
          <w:rFonts w:ascii="Arial" w:eastAsia="Adobe Myungjo Std M" w:hAnsi="Arial" w:cs="Arial"/>
        </w:rPr>
      </w:pPr>
    </w:p>
    <w:p w:rsidR="00EB022B" w:rsidRDefault="00CC1BC2">
      <w:pPr>
        <w:keepNext/>
        <w:rPr>
          <w:rFonts w:ascii="Arial" w:eastAsia="Adobe Myungjo Std M" w:hAnsi="Arial" w:cs="Arial"/>
        </w:rPr>
      </w:pPr>
      <w:r w:rsidRPr="00CC1BC2">
        <w:rPr>
          <w:rFonts w:ascii="Arial" w:eastAsia="Adobe Myungjo Std M" w:hAnsi="Arial" w:cs="Arial"/>
        </w:rPr>
        <w:t>Teachers are reminded about the following:</w:t>
      </w:r>
    </w:p>
    <w:p w:rsidR="00CC1BC2" w:rsidRPr="00CC1BC2" w:rsidRDefault="00A55BEF" w:rsidP="00C16A7F">
      <w:pPr>
        <w:pStyle w:val="dotpoints"/>
        <w:rPr>
          <w:rFonts w:eastAsia="Adobe Myungjo Std M"/>
        </w:rPr>
      </w:pPr>
      <w:r>
        <w:rPr>
          <w:rFonts w:eastAsia="Adobe Myungjo Std M"/>
        </w:rPr>
        <w:t>R</w:t>
      </w:r>
      <w:r w:rsidR="00CC1BC2" w:rsidRPr="00CC1BC2">
        <w:rPr>
          <w:rFonts w:eastAsia="Adobe Myungjo Std M"/>
        </w:rPr>
        <w:t>eports are not marked beyond the 2000</w:t>
      </w:r>
      <w:r w:rsidR="001659FE">
        <w:rPr>
          <w:rFonts w:eastAsia="Adobe Myungjo Std M"/>
        </w:rPr>
        <w:t>-</w:t>
      </w:r>
      <w:r w:rsidR="00CC1BC2" w:rsidRPr="00CC1BC2">
        <w:rPr>
          <w:rFonts w:eastAsia="Adobe Myungjo Std M"/>
        </w:rPr>
        <w:t>word limit.</w:t>
      </w:r>
    </w:p>
    <w:p w:rsidR="00CC1BC2" w:rsidRPr="00CC1BC2" w:rsidRDefault="00CC1BC2" w:rsidP="00C16A7F">
      <w:pPr>
        <w:pStyle w:val="dotpoints"/>
        <w:rPr>
          <w:rFonts w:eastAsia="Adobe Myungjo Std M"/>
        </w:rPr>
      </w:pPr>
      <w:r w:rsidRPr="00CC1BC2">
        <w:rPr>
          <w:rFonts w:eastAsia="Adobe Myungjo Std M"/>
        </w:rPr>
        <w:t>Student work submitted for external marking should have all teacher comments and assessment decisions removed prior to submission</w:t>
      </w:r>
      <w:r w:rsidR="00A55BEF">
        <w:rPr>
          <w:rFonts w:eastAsia="Adobe Myungjo Std M"/>
        </w:rPr>
        <w:t>.</w:t>
      </w:r>
    </w:p>
    <w:p w:rsidR="00CC1BC2" w:rsidRPr="00CC1BC2" w:rsidRDefault="00CC1BC2" w:rsidP="00C16A7F">
      <w:pPr>
        <w:pStyle w:val="dotpoints"/>
        <w:rPr>
          <w:rFonts w:eastAsia="Adobe Myungjo Std M"/>
        </w:rPr>
      </w:pPr>
      <w:r w:rsidRPr="00CC1BC2">
        <w:rPr>
          <w:rFonts w:eastAsia="Adobe Myungjo Std M"/>
        </w:rPr>
        <w:t>All reports should be de-identified</w:t>
      </w:r>
      <w:r w:rsidR="00A55BEF">
        <w:rPr>
          <w:rFonts w:eastAsia="Adobe Myungjo Std M"/>
        </w:rPr>
        <w:t>.</w:t>
      </w:r>
    </w:p>
    <w:p w:rsidR="00CC1BC2" w:rsidRPr="00CC1BC2" w:rsidRDefault="00A55BEF" w:rsidP="00C16A7F">
      <w:pPr>
        <w:pStyle w:val="dotpoints"/>
        <w:rPr>
          <w:rFonts w:eastAsia="Adobe Myungjo Std M"/>
        </w:rPr>
      </w:pPr>
      <w:r>
        <w:rPr>
          <w:rFonts w:eastAsia="Adobe Myungjo Std M"/>
        </w:rPr>
        <w:lastRenderedPageBreak/>
        <w:t>The current subject o</w:t>
      </w:r>
      <w:r w:rsidR="00CC1BC2" w:rsidRPr="00CC1BC2">
        <w:rPr>
          <w:rFonts w:eastAsia="Adobe Myungjo Std M"/>
        </w:rPr>
        <w:t>utline must be used</w:t>
      </w:r>
      <w:r>
        <w:rPr>
          <w:rFonts w:eastAsia="Adobe Myungjo Std M"/>
        </w:rPr>
        <w:t>.</w:t>
      </w:r>
    </w:p>
    <w:p w:rsidR="00CC1BC2" w:rsidRPr="00CC1BC2" w:rsidRDefault="00CC1BC2" w:rsidP="00C16A7F">
      <w:pPr>
        <w:pStyle w:val="dotpoints"/>
        <w:rPr>
          <w:rFonts w:eastAsia="Adobe Myungjo Std M"/>
        </w:rPr>
      </w:pPr>
      <w:r w:rsidRPr="00CC1BC2">
        <w:rPr>
          <w:rFonts w:eastAsia="Adobe Myungjo Std M"/>
        </w:rPr>
        <w:t>Appendi</w:t>
      </w:r>
      <w:r w:rsidR="00A55BEF">
        <w:rPr>
          <w:rFonts w:eastAsia="Adobe Myungjo Std M"/>
        </w:rPr>
        <w:t>ces should be brief</w:t>
      </w:r>
      <w:r w:rsidR="001659FE">
        <w:rPr>
          <w:rFonts w:eastAsia="Adobe Myungjo Std M"/>
        </w:rPr>
        <w:t>,</w:t>
      </w:r>
      <w:r w:rsidR="00A55BEF">
        <w:rPr>
          <w:rFonts w:eastAsia="Adobe Myungjo Std M"/>
        </w:rPr>
        <w:t xml:space="preserve"> as per the subject o</w:t>
      </w:r>
      <w:r w:rsidRPr="00CC1BC2">
        <w:rPr>
          <w:rFonts w:eastAsia="Adobe Myungjo Std M"/>
        </w:rPr>
        <w:t>utline</w:t>
      </w:r>
      <w:r w:rsidR="00A55BEF">
        <w:rPr>
          <w:rFonts w:eastAsia="Adobe Myungjo Std M"/>
        </w:rPr>
        <w:t>.</w:t>
      </w:r>
    </w:p>
    <w:p w:rsidR="00EB022B" w:rsidRDefault="008A3E1E">
      <w:pPr>
        <w:pStyle w:val="BodyText1"/>
        <w:rPr>
          <w:rFonts w:eastAsia="Adobe Myungjo Std M"/>
        </w:rPr>
      </w:pPr>
      <w:r w:rsidRPr="008A3E1E">
        <w:rPr>
          <w:rFonts w:eastAsia="Adobe Myungjo Std M"/>
        </w:rPr>
        <w:t>Students are required to write one formal business report that may be either a situation analysis or an enterprise report.</w:t>
      </w:r>
    </w:p>
    <w:p w:rsidR="00CC1BC2" w:rsidRPr="005F4200" w:rsidRDefault="00CC1BC2" w:rsidP="00231498">
      <w:pPr>
        <w:pStyle w:val="Heading3"/>
        <w:rPr>
          <w:rFonts w:eastAsia="Adobe Myungjo Std M" w:cs="Arial"/>
        </w:rPr>
      </w:pPr>
      <w:r w:rsidRPr="005F4200">
        <w:rPr>
          <w:rFonts w:eastAsia="Adobe Myungjo Std M" w:cs="Arial"/>
        </w:rPr>
        <w:t>Situation Analysis</w:t>
      </w:r>
    </w:p>
    <w:p w:rsidR="00CC1BC2" w:rsidRPr="00CC1BC2" w:rsidRDefault="00CC1BC2" w:rsidP="00231498">
      <w:pPr>
        <w:pStyle w:val="BodyText1"/>
        <w:rPr>
          <w:rFonts w:eastAsia="Adobe Myungjo Std M"/>
        </w:rPr>
      </w:pPr>
      <w:r w:rsidRPr="00CC1BC2">
        <w:rPr>
          <w:rFonts w:eastAsia="Adobe Myungjo Std M"/>
        </w:rPr>
        <w:t>Students who performed wel</w:t>
      </w:r>
      <w:r w:rsidR="00C427DB">
        <w:rPr>
          <w:rFonts w:eastAsia="Adobe Myungjo Std M"/>
        </w:rPr>
        <w:t>l in the situation a</w:t>
      </w:r>
      <w:r w:rsidRPr="00CC1BC2">
        <w:rPr>
          <w:rFonts w:eastAsia="Adobe Myungjo Std M"/>
        </w:rPr>
        <w:t>nalysis generally were able to select businesses that allowed them si</w:t>
      </w:r>
      <w:r w:rsidR="00C427DB">
        <w:rPr>
          <w:rFonts w:eastAsia="Adobe Myungjo Std M"/>
        </w:rPr>
        <w:t>gnificant scope to address the specific f</w:t>
      </w:r>
      <w:r w:rsidRPr="00CC1BC2">
        <w:rPr>
          <w:rFonts w:eastAsia="Adobe Myungjo Std M"/>
        </w:rPr>
        <w:t xml:space="preserve">eatures of assessment, particularly </w:t>
      </w:r>
      <w:r w:rsidR="001659FE">
        <w:rPr>
          <w:rFonts w:eastAsia="Adobe Myungjo Std M"/>
        </w:rPr>
        <w:t xml:space="preserve">those labelled </w:t>
      </w:r>
      <w:r w:rsidRPr="00CC1BC2">
        <w:rPr>
          <w:rFonts w:eastAsia="Adobe Myungjo Std M"/>
        </w:rPr>
        <w:t>KU2, KU3</w:t>
      </w:r>
      <w:r w:rsidR="001659FE">
        <w:rPr>
          <w:rFonts w:eastAsia="Adobe Myungjo Std M"/>
        </w:rPr>
        <w:t>,</w:t>
      </w:r>
      <w:r w:rsidRPr="00CC1BC2">
        <w:rPr>
          <w:rFonts w:eastAsia="Adobe Myungjo Std M"/>
        </w:rPr>
        <w:t xml:space="preserve"> </w:t>
      </w:r>
      <w:r w:rsidR="001659FE" w:rsidRPr="00CC1BC2">
        <w:rPr>
          <w:rFonts w:eastAsia="Adobe Myungjo Std M"/>
        </w:rPr>
        <w:t>AE1,</w:t>
      </w:r>
      <w:r w:rsidR="001659FE">
        <w:rPr>
          <w:rFonts w:eastAsia="Adobe Myungjo Std M"/>
        </w:rPr>
        <w:t xml:space="preserve"> </w:t>
      </w:r>
      <w:r w:rsidRPr="00CC1BC2">
        <w:rPr>
          <w:rFonts w:eastAsia="Adobe Myungjo Std M"/>
        </w:rPr>
        <w:t>and Ap2.</w:t>
      </w:r>
      <w:r w:rsidR="00821CA6">
        <w:rPr>
          <w:rFonts w:eastAsia="Adobe Myungjo Std M"/>
        </w:rPr>
        <w:t xml:space="preserve"> </w:t>
      </w:r>
      <w:r w:rsidRPr="00CC1BC2">
        <w:rPr>
          <w:rFonts w:eastAsia="Adobe Myungjo Std M"/>
        </w:rPr>
        <w:t xml:space="preserve">The importance of good business selection cannot be </w:t>
      </w:r>
      <w:r w:rsidR="00992355">
        <w:rPr>
          <w:rFonts w:eastAsia="Adobe Myungjo Std M"/>
        </w:rPr>
        <w:t>over</w:t>
      </w:r>
      <w:r w:rsidRPr="00CC1BC2">
        <w:rPr>
          <w:rFonts w:eastAsia="Adobe Myungjo Std M"/>
        </w:rPr>
        <w:t>stated.</w:t>
      </w:r>
    </w:p>
    <w:p w:rsidR="00CC1BC2" w:rsidRPr="00CC1BC2" w:rsidRDefault="00CC1BC2" w:rsidP="00231498">
      <w:pPr>
        <w:pStyle w:val="BodyText1"/>
        <w:rPr>
          <w:rFonts w:eastAsia="Adobe Myungjo Std M"/>
        </w:rPr>
      </w:pPr>
      <w:r w:rsidRPr="00CC1BC2">
        <w:rPr>
          <w:rFonts w:eastAsia="Adobe Myungjo Std M"/>
        </w:rPr>
        <w:t>It was apparent that many r</w:t>
      </w:r>
      <w:r w:rsidR="00C427DB">
        <w:rPr>
          <w:rFonts w:eastAsia="Adobe Myungjo Std M"/>
        </w:rPr>
        <w:t xml:space="preserve">eports were set to a template. </w:t>
      </w:r>
      <w:r w:rsidRPr="00CC1BC2">
        <w:rPr>
          <w:rFonts w:eastAsia="Adobe Myungjo Std M"/>
        </w:rPr>
        <w:t>While this scaffolding may help students, in some instan</w:t>
      </w:r>
      <w:r w:rsidR="00C427DB">
        <w:rPr>
          <w:rFonts w:eastAsia="Adobe Myungjo Std M"/>
        </w:rPr>
        <w:t xml:space="preserve">ces it was a clear limitation. </w:t>
      </w:r>
      <w:r w:rsidRPr="00CC1BC2">
        <w:rPr>
          <w:rFonts w:eastAsia="Adobe Myungjo Std M"/>
        </w:rPr>
        <w:t xml:space="preserve">Better reports were able to incorporate elements of course content specifically relevant to the business in considerable depth, whereas </w:t>
      </w:r>
      <w:r w:rsidR="003C458C">
        <w:rPr>
          <w:rFonts w:eastAsia="Adobe Myungjo Std M"/>
        </w:rPr>
        <w:t>less successful</w:t>
      </w:r>
      <w:r w:rsidRPr="00CC1BC2">
        <w:rPr>
          <w:rFonts w:eastAsia="Adobe Myungjo Std M"/>
        </w:rPr>
        <w:t xml:space="preserve"> reports generally dealt superficially with a wide range of areas that may or may not have had direct or significant relevance to the business.</w:t>
      </w:r>
    </w:p>
    <w:p w:rsidR="00CC1BC2" w:rsidRPr="00CC1BC2" w:rsidRDefault="00CC1BC2" w:rsidP="00231498">
      <w:pPr>
        <w:pStyle w:val="BodyText1"/>
        <w:rPr>
          <w:rFonts w:eastAsia="Adobe Myungjo Std M"/>
        </w:rPr>
      </w:pPr>
      <w:r w:rsidRPr="00CC1BC2">
        <w:rPr>
          <w:rFonts w:eastAsia="Adobe Myungjo Std M"/>
        </w:rPr>
        <w:t>Wh</w:t>
      </w:r>
      <w:r w:rsidR="00C427DB">
        <w:rPr>
          <w:rFonts w:eastAsia="Adobe Myungjo Std M"/>
        </w:rPr>
        <w:t>ile most reports addressed the specific f</w:t>
      </w:r>
      <w:r w:rsidRPr="00CC1BC2">
        <w:rPr>
          <w:rFonts w:eastAsia="Adobe Myungjo Std M"/>
        </w:rPr>
        <w:t xml:space="preserve">eatures, AE1 continues to be the area in which students did not achieve as </w:t>
      </w:r>
      <w:r w:rsidR="009E2689">
        <w:rPr>
          <w:rFonts w:eastAsia="Adobe Myungjo Std M"/>
        </w:rPr>
        <w:t>well</w:t>
      </w:r>
      <w:r w:rsidRPr="00CC1BC2">
        <w:rPr>
          <w:rFonts w:eastAsia="Adobe Myungjo Std M"/>
        </w:rPr>
        <w:t>.</w:t>
      </w:r>
      <w:r w:rsidR="00821CA6">
        <w:rPr>
          <w:rFonts w:eastAsia="Adobe Myungjo Std M"/>
        </w:rPr>
        <w:t xml:space="preserve"> </w:t>
      </w:r>
      <w:r w:rsidRPr="00CC1BC2">
        <w:rPr>
          <w:rFonts w:eastAsia="Adobe Myungjo Std M"/>
        </w:rPr>
        <w:t>Better reports integrated current issues in the economic and business environment specifically relevant to the business while also effectively integrating and evaluating industry</w:t>
      </w:r>
      <w:r w:rsidR="003C458C">
        <w:rPr>
          <w:rFonts w:eastAsia="Adobe Myungjo Std M"/>
        </w:rPr>
        <w:t>-</w:t>
      </w:r>
      <w:r w:rsidRPr="00CC1BC2">
        <w:rPr>
          <w:rFonts w:eastAsia="Adobe Myungjo Std M"/>
        </w:rPr>
        <w:t xml:space="preserve">specific issues and opportunities. </w:t>
      </w:r>
    </w:p>
    <w:p w:rsidR="00CC1BC2" w:rsidRPr="00CC1BC2" w:rsidRDefault="00CC1BC2" w:rsidP="00231498">
      <w:pPr>
        <w:pStyle w:val="BodyText1"/>
        <w:rPr>
          <w:rFonts w:eastAsia="Adobe Myungjo Std M"/>
        </w:rPr>
      </w:pPr>
      <w:r w:rsidRPr="00CC1BC2">
        <w:rPr>
          <w:rFonts w:eastAsia="Adobe Myungjo Std M"/>
        </w:rPr>
        <w:t>Many reports demonstrated considered knowledge and understanding of a variety of business concepts.</w:t>
      </w:r>
      <w:r w:rsidR="00821CA6">
        <w:rPr>
          <w:rFonts w:eastAsia="Adobe Myungjo Std M"/>
        </w:rPr>
        <w:t xml:space="preserve"> </w:t>
      </w:r>
      <w:r w:rsidR="003C458C">
        <w:rPr>
          <w:rFonts w:eastAsia="Adobe Myungjo Std M"/>
        </w:rPr>
        <w:t>Less successful</w:t>
      </w:r>
      <w:r w:rsidRPr="00CC1BC2">
        <w:rPr>
          <w:rFonts w:eastAsia="Adobe Myungjo Std M"/>
        </w:rPr>
        <w:t xml:space="preserve"> reports focused generally on bas</w:t>
      </w:r>
      <w:r w:rsidR="00C427DB">
        <w:rPr>
          <w:rFonts w:eastAsia="Adobe Myungjo Std M"/>
        </w:rPr>
        <w:t>ic business theory</w:t>
      </w:r>
      <w:r w:rsidR="003C458C">
        <w:rPr>
          <w:rFonts w:eastAsia="Adobe Myungjo Std M"/>
        </w:rPr>
        <w:t>,</w:t>
      </w:r>
      <w:r w:rsidR="00C427DB">
        <w:rPr>
          <w:rFonts w:eastAsia="Adobe Myungjo Std M"/>
        </w:rPr>
        <w:t xml:space="preserve"> such as the business life cycle, human resource c</w:t>
      </w:r>
      <w:r w:rsidRPr="00CC1BC2">
        <w:rPr>
          <w:rFonts w:eastAsia="Adobe Myungjo Std M"/>
        </w:rPr>
        <w:t xml:space="preserve">ycle, </w:t>
      </w:r>
      <w:r w:rsidR="00C427DB">
        <w:rPr>
          <w:rFonts w:eastAsia="Adobe Myungjo Std M"/>
        </w:rPr>
        <w:t>and the four Ps of marketing,</w:t>
      </w:r>
      <w:r w:rsidRPr="00CC1BC2">
        <w:rPr>
          <w:rFonts w:eastAsia="Adobe Myungjo Std M"/>
        </w:rPr>
        <w:t xml:space="preserve"> while better reports delved deeper into more complex concepts, particularly in regards to business theory and the structures contained within the business.</w:t>
      </w:r>
    </w:p>
    <w:p w:rsidR="00CC1BC2" w:rsidRPr="00CC1BC2" w:rsidRDefault="00CC1BC2" w:rsidP="00231498">
      <w:pPr>
        <w:pStyle w:val="BodyText1"/>
        <w:rPr>
          <w:rFonts w:eastAsia="Adobe Myungjo Std M"/>
        </w:rPr>
      </w:pPr>
      <w:r w:rsidRPr="00CC1BC2">
        <w:rPr>
          <w:rFonts w:eastAsia="Adobe Myungjo Std M"/>
        </w:rPr>
        <w:t>Students generally communicated well.</w:t>
      </w:r>
      <w:r w:rsidR="00821CA6">
        <w:rPr>
          <w:rFonts w:eastAsia="Adobe Myungjo Std M"/>
        </w:rPr>
        <w:t xml:space="preserve"> </w:t>
      </w:r>
      <w:r w:rsidRPr="00CC1BC2">
        <w:rPr>
          <w:rFonts w:eastAsia="Adobe Myungjo Std M"/>
        </w:rPr>
        <w:t xml:space="preserve">While </w:t>
      </w:r>
      <w:r w:rsidR="003C458C">
        <w:rPr>
          <w:rFonts w:eastAsia="Adobe Myungjo Std M"/>
        </w:rPr>
        <w:t>less successful</w:t>
      </w:r>
      <w:r w:rsidRPr="00CC1BC2">
        <w:rPr>
          <w:rFonts w:eastAsia="Adobe Myungjo Std M"/>
        </w:rPr>
        <w:t xml:space="preserve"> reports were written from the perspective of the business owner, better reports </w:t>
      </w:r>
      <w:r w:rsidR="006C4AC7">
        <w:rPr>
          <w:rFonts w:eastAsia="Adobe Myungjo Std M"/>
        </w:rPr>
        <w:t>were written from an objective third</w:t>
      </w:r>
      <w:r w:rsidR="003C458C">
        <w:rPr>
          <w:rFonts w:eastAsia="Adobe Myungjo Std M"/>
        </w:rPr>
        <w:t>-</w:t>
      </w:r>
      <w:r w:rsidRPr="00CC1BC2">
        <w:rPr>
          <w:rFonts w:eastAsia="Adobe Myungjo Std M"/>
        </w:rPr>
        <w:t>person perspective in a very professional manner appropriate to the audience.</w:t>
      </w:r>
      <w:r w:rsidR="00821CA6">
        <w:rPr>
          <w:rFonts w:eastAsia="Adobe Myungjo Std M"/>
        </w:rPr>
        <w:t xml:space="preserve"> </w:t>
      </w:r>
      <w:r w:rsidRPr="00CC1BC2">
        <w:rPr>
          <w:rFonts w:eastAsia="Adobe Myungjo Std M"/>
        </w:rPr>
        <w:t>Sentence density in the better reports was also of a very high standard.</w:t>
      </w:r>
    </w:p>
    <w:p w:rsidR="00CC1BC2" w:rsidRPr="00CC1BC2" w:rsidRDefault="00CC1BC2" w:rsidP="006C4AC7">
      <w:pPr>
        <w:pStyle w:val="BodyText1"/>
        <w:rPr>
          <w:rFonts w:eastAsia="Adobe Myungjo Std M"/>
        </w:rPr>
      </w:pPr>
      <w:r w:rsidRPr="00CC1BC2">
        <w:rPr>
          <w:rFonts w:eastAsia="Adobe Myungjo Std M"/>
        </w:rPr>
        <w:t>Most re</w:t>
      </w:r>
      <w:r w:rsidR="006C4AC7">
        <w:rPr>
          <w:rFonts w:eastAsia="Adobe Myungjo Std M"/>
        </w:rPr>
        <w:t xml:space="preserve">ports contained recommendations; </w:t>
      </w:r>
      <w:r w:rsidRPr="00CC1BC2">
        <w:rPr>
          <w:rFonts w:eastAsia="Adobe Myungjo Std M"/>
        </w:rPr>
        <w:t>howev</w:t>
      </w:r>
      <w:r w:rsidR="006C4AC7">
        <w:rPr>
          <w:rFonts w:eastAsia="Adobe Myungjo Std M"/>
        </w:rPr>
        <w:t xml:space="preserve">er, </w:t>
      </w:r>
      <w:r w:rsidRPr="00CC1BC2">
        <w:rPr>
          <w:rFonts w:eastAsia="Adobe Myungjo Std M"/>
        </w:rPr>
        <w:t>many of these were superficial.</w:t>
      </w:r>
      <w:r w:rsidR="00821CA6">
        <w:rPr>
          <w:rFonts w:eastAsia="Adobe Myungjo Std M"/>
        </w:rPr>
        <w:t xml:space="preserve"> </w:t>
      </w:r>
      <w:r w:rsidR="006C4AC7">
        <w:rPr>
          <w:rFonts w:eastAsia="Adobe Myungjo Std M"/>
        </w:rPr>
        <w:t>The more successful</w:t>
      </w:r>
      <w:r w:rsidRPr="00CC1BC2">
        <w:rPr>
          <w:rFonts w:eastAsia="Adobe Myungjo Std M"/>
        </w:rPr>
        <w:t xml:space="preserve"> reports made selective and constructive recommendations based on business theories that were specifically related to the business.</w:t>
      </w:r>
    </w:p>
    <w:p w:rsidR="00CC1BC2" w:rsidRPr="00CC1BC2" w:rsidRDefault="00CC1BC2" w:rsidP="00231498">
      <w:pPr>
        <w:pStyle w:val="BodyText1"/>
        <w:rPr>
          <w:rFonts w:eastAsia="Adobe Myungjo Std M"/>
        </w:rPr>
      </w:pPr>
      <w:r w:rsidRPr="00CC1BC2">
        <w:rPr>
          <w:rFonts w:eastAsia="Adobe Myungjo Std M"/>
        </w:rPr>
        <w:t>Students are evidently becoming more familiar with the conventions of referencing; better reports integrated references throughout the report on multiple occasions</w:t>
      </w:r>
      <w:r w:rsidR="003C458C">
        <w:rPr>
          <w:rFonts w:eastAsia="Adobe Myungjo Std M"/>
        </w:rPr>
        <w:t xml:space="preserve">, </w:t>
      </w:r>
      <w:r w:rsidRPr="00CC1BC2">
        <w:rPr>
          <w:rFonts w:eastAsia="Adobe Myungjo Std M"/>
        </w:rPr>
        <w:t xml:space="preserve">whereas </w:t>
      </w:r>
      <w:r w:rsidR="003C458C">
        <w:rPr>
          <w:rFonts w:eastAsia="Adobe Myungjo Std M"/>
        </w:rPr>
        <w:t>less successful</w:t>
      </w:r>
      <w:r w:rsidRPr="00CC1BC2">
        <w:rPr>
          <w:rFonts w:eastAsia="Adobe Myungjo Std M"/>
        </w:rPr>
        <w:t xml:space="preserve"> reports were sporadic in their application of referencing.</w:t>
      </w:r>
      <w:r w:rsidR="00821CA6">
        <w:rPr>
          <w:rFonts w:eastAsia="Adobe Myungjo Std M"/>
        </w:rPr>
        <w:t xml:space="preserve"> </w:t>
      </w:r>
      <w:r w:rsidRPr="00CC1BC2">
        <w:rPr>
          <w:rFonts w:eastAsia="Adobe Myungjo Std M"/>
        </w:rPr>
        <w:t>Figures that are not original should be referenced.</w:t>
      </w:r>
    </w:p>
    <w:p w:rsidR="00CC1BC2" w:rsidRPr="00CC1BC2" w:rsidRDefault="00CC1BC2" w:rsidP="006C4AC7">
      <w:pPr>
        <w:pStyle w:val="BodyText1"/>
        <w:rPr>
          <w:rFonts w:eastAsia="Adobe Myungjo Std M"/>
        </w:rPr>
      </w:pPr>
      <w:r w:rsidRPr="00CC1BC2">
        <w:rPr>
          <w:rFonts w:eastAsia="Adobe Myungjo Std M"/>
        </w:rPr>
        <w:t>The range of sources contained in reports varied significantly.</w:t>
      </w:r>
      <w:r w:rsidR="00821CA6">
        <w:rPr>
          <w:rFonts w:eastAsia="Adobe Myungjo Std M"/>
        </w:rPr>
        <w:t xml:space="preserve"> </w:t>
      </w:r>
      <w:r w:rsidRPr="00CC1BC2">
        <w:rPr>
          <w:rFonts w:eastAsia="Adobe Myungjo Std M"/>
        </w:rPr>
        <w:t>Students who were proactive were able to integrate information from a</w:t>
      </w:r>
      <w:r w:rsidR="005E285A">
        <w:rPr>
          <w:rFonts w:eastAsia="Adobe Myungjo Std M"/>
        </w:rPr>
        <w:t>n extensive</w:t>
      </w:r>
      <w:r w:rsidRPr="00CC1BC2">
        <w:rPr>
          <w:rFonts w:eastAsia="Adobe Myungjo Std M"/>
        </w:rPr>
        <w:t xml:space="preserve"> range of sources</w:t>
      </w:r>
      <w:r w:rsidR="003C458C">
        <w:rPr>
          <w:rFonts w:eastAsia="Adobe Myungjo Std M"/>
        </w:rPr>
        <w:t>,</w:t>
      </w:r>
      <w:r w:rsidRPr="00CC1BC2">
        <w:rPr>
          <w:rFonts w:eastAsia="Adobe Myungjo Std M"/>
        </w:rPr>
        <w:t xml:space="preserve"> including interviews with a wide variety of people (owners, employees, competitors, customers, </w:t>
      </w:r>
      <w:r w:rsidR="005E285A">
        <w:rPr>
          <w:rFonts w:eastAsia="Adobe Myungjo Std M"/>
        </w:rPr>
        <w:t>and</w:t>
      </w:r>
      <w:r w:rsidRPr="00CC1BC2">
        <w:rPr>
          <w:rFonts w:eastAsia="Adobe Myungjo Std M"/>
        </w:rPr>
        <w:t xml:space="preserve"> guest speakers), </w:t>
      </w:r>
      <w:r w:rsidR="005E285A">
        <w:rPr>
          <w:rFonts w:eastAsia="Adobe Myungjo Std M"/>
        </w:rPr>
        <w:t xml:space="preserve">excursions, </w:t>
      </w:r>
      <w:r w:rsidRPr="00CC1BC2">
        <w:rPr>
          <w:rFonts w:eastAsia="Adobe Myungjo Std M"/>
        </w:rPr>
        <w:t>websites, newspaper</w:t>
      </w:r>
      <w:r w:rsidR="005E285A">
        <w:rPr>
          <w:rFonts w:eastAsia="Adobe Myungjo Std M"/>
        </w:rPr>
        <w:t>s</w:t>
      </w:r>
      <w:r w:rsidRPr="00CC1BC2">
        <w:rPr>
          <w:rFonts w:eastAsia="Adobe Myungjo Std M"/>
        </w:rPr>
        <w:t>, academic articles, textbooks, surveys</w:t>
      </w:r>
      <w:r w:rsidR="005E285A">
        <w:rPr>
          <w:rFonts w:eastAsia="Adobe Myungjo Std M"/>
        </w:rPr>
        <w:t>,</w:t>
      </w:r>
      <w:r w:rsidRPr="00CC1BC2">
        <w:rPr>
          <w:rFonts w:eastAsia="Adobe Myungjo Std M"/>
        </w:rPr>
        <w:t xml:space="preserve"> and case studies.</w:t>
      </w:r>
      <w:r w:rsidR="00821CA6">
        <w:rPr>
          <w:rFonts w:eastAsia="Adobe Myungjo Std M"/>
        </w:rPr>
        <w:t xml:space="preserve"> </w:t>
      </w:r>
      <w:r w:rsidR="006C4AC7">
        <w:rPr>
          <w:rFonts w:eastAsia="Adobe Myungjo Std M"/>
        </w:rPr>
        <w:t>The less successful</w:t>
      </w:r>
      <w:r w:rsidRPr="00CC1BC2">
        <w:rPr>
          <w:rFonts w:eastAsia="Adobe Myungjo Std M"/>
        </w:rPr>
        <w:t xml:space="preserve"> reports tended to use </w:t>
      </w:r>
      <w:r w:rsidR="005E285A">
        <w:rPr>
          <w:rFonts w:eastAsia="Adobe Myungjo Std M"/>
        </w:rPr>
        <w:t xml:space="preserve">information only from </w:t>
      </w:r>
      <w:r w:rsidRPr="00CC1BC2">
        <w:rPr>
          <w:rFonts w:eastAsia="Adobe Myungjo Std M"/>
        </w:rPr>
        <w:t xml:space="preserve">several interviews with </w:t>
      </w:r>
      <w:r w:rsidR="005F4200">
        <w:rPr>
          <w:rFonts w:eastAsia="Adobe Myungjo Std M"/>
        </w:rPr>
        <w:t xml:space="preserve">a business </w:t>
      </w:r>
      <w:r w:rsidRPr="00CC1BC2">
        <w:rPr>
          <w:rFonts w:eastAsia="Adobe Myungjo Std M"/>
        </w:rPr>
        <w:t xml:space="preserve">owner and </w:t>
      </w:r>
      <w:r w:rsidR="005E285A">
        <w:rPr>
          <w:rFonts w:eastAsia="Adobe Myungjo Std M"/>
        </w:rPr>
        <w:t xml:space="preserve">from </w:t>
      </w:r>
      <w:r w:rsidRPr="00CC1BC2">
        <w:rPr>
          <w:rFonts w:eastAsia="Adobe Myungjo Std M"/>
        </w:rPr>
        <w:t>websites.</w:t>
      </w:r>
    </w:p>
    <w:p w:rsidR="00CC1BC2" w:rsidRPr="00CC1BC2" w:rsidRDefault="00CC1BC2" w:rsidP="00BC5D12">
      <w:pPr>
        <w:pStyle w:val="BodyText1"/>
        <w:rPr>
          <w:rFonts w:eastAsia="Adobe Myungjo Std M"/>
        </w:rPr>
      </w:pPr>
      <w:r w:rsidRPr="00CC1BC2">
        <w:rPr>
          <w:rFonts w:eastAsia="Adobe Myungjo Std M"/>
        </w:rPr>
        <w:lastRenderedPageBreak/>
        <w:t xml:space="preserve">Students </w:t>
      </w:r>
      <w:r w:rsidR="00BC5D12">
        <w:rPr>
          <w:rFonts w:eastAsia="Adobe Myungjo Std M"/>
        </w:rPr>
        <w:t>who</w:t>
      </w:r>
      <w:r w:rsidRPr="00CC1BC2">
        <w:rPr>
          <w:rFonts w:eastAsia="Adobe Myungjo Std M"/>
        </w:rPr>
        <w:t xml:space="preserve"> performed </w:t>
      </w:r>
      <w:r w:rsidR="00670C4F">
        <w:rPr>
          <w:rFonts w:eastAsia="Adobe Myungjo Std M"/>
        </w:rPr>
        <w:t xml:space="preserve">successfully </w:t>
      </w:r>
      <w:r w:rsidR="00BC5D12">
        <w:rPr>
          <w:rFonts w:eastAsia="Adobe Myungjo Std M"/>
        </w:rPr>
        <w:t>were able to address all specific f</w:t>
      </w:r>
      <w:r w:rsidRPr="00CC1BC2">
        <w:rPr>
          <w:rFonts w:eastAsia="Adobe Myungjo Std M"/>
        </w:rPr>
        <w:t>eat</w:t>
      </w:r>
      <w:r w:rsidR="00BC5D12">
        <w:rPr>
          <w:rFonts w:eastAsia="Adobe Myungjo Std M"/>
        </w:rPr>
        <w:t xml:space="preserve">ures of assessment effectively; </w:t>
      </w:r>
      <w:r w:rsidRPr="00CC1BC2">
        <w:rPr>
          <w:rFonts w:eastAsia="Adobe Myungjo Std M"/>
        </w:rPr>
        <w:t>however</w:t>
      </w:r>
      <w:r w:rsidR="00BC5D12">
        <w:rPr>
          <w:rFonts w:eastAsia="Adobe Myungjo Std M"/>
        </w:rPr>
        <w:t>,</w:t>
      </w:r>
      <w:r w:rsidRPr="00CC1BC2">
        <w:rPr>
          <w:rFonts w:eastAsia="Adobe Myungjo Std M"/>
        </w:rPr>
        <w:t xml:space="preserve"> it was noted that there was a significant relationship between KU3, AE1</w:t>
      </w:r>
      <w:r w:rsidR="005E285A">
        <w:rPr>
          <w:rFonts w:eastAsia="Adobe Myungjo Std M"/>
        </w:rPr>
        <w:t>,</w:t>
      </w:r>
      <w:r w:rsidRPr="00CC1BC2">
        <w:rPr>
          <w:rFonts w:eastAsia="Adobe Myungjo Std M"/>
        </w:rPr>
        <w:t xml:space="preserve"> and Ap2 and how they were integrated into the report.</w:t>
      </w:r>
      <w:r w:rsidR="00821CA6">
        <w:rPr>
          <w:rFonts w:eastAsia="Adobe Myungjo Std M"/>
        </w:rPr>
        <w:t xml:space="preserve"> </w:t>
      </w:r>
      <w:r w:rsidRPr="00CC1BC2">
        <w:rPr>
          <w:rFonts w:eastAsia="Adobe Myungjo Std M"/>
        </w:rPr>
        <w:t xml:space="preserve">Students </w:t>
      </w:r>
      <w:r w:rsidR="00BC5D12">
        <w:rPr>
          <w:rFonts w:eastAsia="Adobe Myungjo Std M"/>
        </w:rPr>
        <w:t>who</w:t>
      </w:r>
      <w:r w:rsidRPr="00CC1BC2">
        <w:rPr>
          <w:rFonts w:eastAsia="Adobe Myungjo Std M"/>
        </w:rPr>
        <w:t xml:space="preserve"> were able to effectively address and interconnect th</w:t>
      </w:r>
      <w:r w:rsidR="00FC1827">
        <w:rPr>
          <w:rFonts w:eastAsia="Adobe Myungjo Std M"/>
        </w:rPr>
        <w:t>ese</w:t>
      </w:r>
      <w:r w:rsidRPr="00CC1BC2">
        <w:rPr>
          <w:rFonts w:eastAsia="Adobe Myungjo Std M"/>
        </w:rPr>
        <w:t xml:space="preserve"> </w:t>
      </w:r>
      <w:r w:rsidR="00DE295A">
        <w:rPr>
          <w:rFonts w:eastAsia="Adobe Myungjo Std M"/>
        </w:rPr>
        <w:t>specific features</w:t>
      </w:r>
      <w:r w:rsidRPr="00CC1BC2">
        <w:rPr>
          <w:rFonts w:eastAsia="Adobe Myungjo Std M"/>
        </w:rPr>
        <w:t xml:space="preserve"> throughout the report generally </w:t>
      </w:r>
      <w:r w:rsidR="00BC5D12">
        <w:rPr>
          <w:rFonts w:eastAsia="Adobe Myungjo Std M"/>
        </w:rPr>
        <w:t>achieved at the higher level</w:t>
      </w:r>
      <w:r w:rsidRPr="00CC1BC2">
        <w:rPr>
          <w:rFonts w:eastAsia="Adobe Myungjo Std M"/>
        </w:rPr>
        <w:t>.</w:t>
      </w:r>
    </w:p>
    <w:p w:rsidR="00CC1BC2" w:rsidRPr="00CC1BC2" w:rsidRDefault="00CC1BC2" w:rsidP="00231498">
      <w:pPr>
        <w:pStyle w:val="Heading3"/>
        <w:rPr>
          <w:rFonts w:eastAsia="Adobe Myungjo Std M"/>
        </w:rPr>
      </w:pPr>
      <w:r w:rsidRPr="00CC1BC2">
        <w:rPr>
          <w:rFonts w:eastAsia="Adobe Myungjo Std M"/>
        </w:rPr>
        <w:t xml:space="preserve">Enterprise </w:t>
      </w:r>
      <w:r w:rsidR="00BA1255">
        <w:rPr>
          <w:rFonts w:eastAsia="Adobe Myungjo Std M"/>
        </w:rPr>
        <w:t>R</w:t>
      </w:r>
      <w:r w:rsidRPr="00CC1BC2">
        <w:rPr>
          <w:rFonts w:eastAsia="Adobe Myungjo Std M"/>
        </w:rPr>
        <w:t>eport</w:t>
      </w:r>
    </w:p>
    <w:p w:rsidR="00CC1BC2" w:rsidRPr="00CC1BC2" w:rsidRDefault="00CC1BC2" w:rsidP="00CC1BC2">
      <w:pPr>
        <w:rPr>
          <w:rFonts w:ascii="Arial" w:eastAsia="Adobe Myungjo Std M" w:hAnsi="Arial" w:cs="Arial"/>
        </w:rPr>
      </w:pPr>
    </w:p>
    <w:p w:rsidR="00CC1BC2" w:rsidRDefault="00CC1BC2" w:rsidP="00231498">
      <w:pPr>
        <w:rPr>
          <w:rFonts w:ascii="Arial" w:eastAsia="Adobe Myungjo Std M" w:hAnsi="Arial" w:cs="Arial"/>
        </w:rPr>
      </w:pPr>
      <w:r w:rsidRPr="00CC1BC2">
        <w:rPr>
          <w:rFonts w:ascii="Arial" w:eastAsia="Adobe Myungjo Std M" w:hAnsi="Arial" w:cs="Arial"/>
        </w:rPr>
        <w:t>As in previous years, students completed fewer enterprise reports than the situation analys</w:t>
      </w:r>
      <w:r w:rsidR="005E285A">
        <w:rPr>
          <w:rFonts w:ascii="Arial" w:eastAsia="Adobe Myungjo Std M" w:hAnsi="Arial" w:cs="Arial"/>
        </w:rPr>
        <w:t>e</w:t>
      </w:r>
      <w:r w:rsidRPr="00CC1BC2">
        <w:rPr>
          <w:rFonts w:ascii="Arial" w:eastAsia="Adobe Myungjo Std M" w:hAnsi="Arial" w:cs="Arial"/>
        </w:rPr>
        <w:t>s.</w:t>
      </w:r>
      <w:r w:rsidR="00821CA6">
        <w:rPr>
          <w:rFonts w:ascii="Arial" w:eastAsia="Adobe Myungjo Std M" w:hAnsi="Arial" w:cs="Arial"/>
        </w:rPr>
        <w:t xml:space="preserve"> </w:t>
      </w:r>
      <w:r w:rsidRPr="00CC1BC2">
        <w:rPr>
          <w:rFonts w:ascii="Arial" w:eastAsia="Adobe Myungjo Std M" w:hAnsi="Arial" w:cs="Arial"/>
        </w:rPr>
        <w:t>As has been the trend over the last several years, the</w:t>
      </w:r>
      <w:r w:rsidR="005E285A">
        <w:rPr>
          <w:rFonts w:ascii="Arial" w:eastAsia="Adobe Myungjo Std M" w:hAnsi="Arial" w:cs="Arial"/>
        </w:rPr>
        <w:t xml:space="preserve"> reports</w:t>
      </w:r>
      <w:r w:rsidRPr="00CC1BC2">
        <w:rPr>
          <w:rFonts w:ascii="Arial" w:eastAsia="Adobe Myungjo Std M" w:hAnsi="Arial" w:cs="Arial"/>
        </w:rPr>
        <w:t xml:space="preserve"> </w:t>
      </w:r>
      <w:r w:rsidR="00AC0201">
        <w:rPr>
          <w:rFonts w:ascii="Arial" w:eastAsia="Adobe Myungjo Std M" w:hAnsi="Arial" w:cs="Arial"/>
        </w:rPr>
        <w:t xml:space="preserve">are rising in standard; however, they </w:t>
      </w:r>
      <w:r w:rsidRPr="00CC1BC2">
        <w:rPr>
          <w:rFonts w:ascii="Arial" w:eastAsia="Adobe Myungjo Std M" w:hAnsi="Arial" w:cs="Arial"/>
        </w:rPr>
        <w:t>are still not executed as w</w:t>
      </w:r>
      <w:r w:rsidR="00231498">
        <w:rPr>
          <w:rFonts w:ascii="Arial" w:eastAsia="Adobe Myungjo Std M" w:hAnsi="Arial" w:cs="Arial"/>
        </w:rPr>
        <w:t>ell as the situation analys</w:t>
      </w:r>
      <w:r w:rsidR="005E285A">
        <w:rPr>
          <w:rFonts w:ascii="Arial" w:eastAsia="Adobe Myungjo Std M" w:hAnsi="Arial" w:cs="Arial"/>
        </w:rPr>
        <w:t>e</w:t>
      </w:r>
      <w:r w:rsidR="00231498">
        <w:rPr>
          <w:rFonts w:ascii="Arial" w:eastAsia="Adobe Myungjo Std M" w:hAnsi="Arial" w:cs="Arial"/>
        </w:rPr>
        <w:t>s.</w:t>
      </w:r>
    </w:p>
    <w:p w:rsidR="00231498" w:rsidRPr="00CC1BC2" w:rsidRDefault="00231498" w:rsidP="00231498">
      <w:pPr>
        <w:rPr>
          <w:rFonts w:ascii="Arial" w:eastAsia="Adobe Myungjo Std M" w:hAnsi="Arial" w:cs="Arial"/>
        </w:rPr>
      </w:pPr>
    </w:p>
    <w:p w:rsidR="00CC1BC2" w:rsidRPr="00CC1BC2" w:rsidRDefault="00CC1BC2" w:rsidP="00CC1BC2">
      <w:pPr>
        <w:rPr>
          <w:rFonts w:ascii="Arial" w:eastAsia="Adobe Myungjo Std M" w:hAnsi="Arial" w:cs="Arial"/>
        </w:rPr>
      </w:pPr>
      <w:r w:rsidRPr="00CC1BC2">
        <w:rPr>
          <w:rFonts w:ascii="Arial" w:eastAsia="Adobe Myungjo Std M" w:hAnsi="Arial" w:cs="Arial"/>
        </w:rPr>
        <w:t>Better reports demonstrated an in</w:t>
      </w:r>
      <w:r w:rsidR="005E285A">
        <w:rPr>
          <w:rFonts w:ascii="Arial" w:eastAsia="Adobe Myungjo Std M" w:hAnsi="Arial" w:cs="Arial"/>
        </w:rPr>
        <w:t>-</w:t>
      </w:r>
      <w:r w:rsidRPr="00CC1BC2">
        <w:rPr>
          <w:rFonts w:ascii="Arial" w:eastAsia="Adobe Myungjo Std M" w:hAnsi="Arial" w:cs="Arial"/>
        </w:rPr>
        <w:t>depth business operation which ran for a significant amount of time.</w:t>
      </w:r>
      <w:r w:rsidR="00821CA6">
        <w:rPr>
          <w:rFonts w:ascii="Arial" w:eastAsia="Adobe Myungjo Std M" w:hAnsi="Arial" w:cs="Arial"/>
        </w:rPr>
        <w:t xml:space="preserve"> </w:t>
      </w:r>
      <w:r w:rsidRPr="00CC1BC2">
        <w:rPr>
          <w:rFonts w:ascii="Arial" w:eastAsia="Adobe Myungjo Std M" w:hAnsi="Arial" w:cs="Arial"/>
        </w:rPr>
        <w:t>As such</w:t>
      </w:r>
      <w:r w:rsidR="005E285A">
        <w:rPr>
          <w:rFonts w:ascii="Arial" w:eastAsia="Adobe Myungjo Std M" w:hAnsi="Arial" w:cs="Arial"/>
        </w:rPr>
        <w:t>,</w:t>
      </w:r>
      <w:r w:rsidRPr="00CC1BC2">
        <w:rPr>
          <w:rFonts w:ascii="Arial" w:eastAsia="Adobe Myungjo Std M" w:hAnsi="Arial" w:cs="Arial"/>
        </w:rPr>
        <w:t xml:space="preserve"> these reports were able to integrate a wider variety of business theory</w:t>
      </w:r>
      <w:r w:rsidR="00DE79CE">
        <w:rPr>
          <w:rFonts w:ascii="Arial" w:eastAsia="Adobe Myungjo Std M" w:hAnsi="Arial" w:cs="Arial"/>
        </w:rPr>
        <w:t>,</w:t>
      </w:r>
      <w:r w:rsidRPr="00CC1BC2">
        <w:rPr>
          <w:rFonts w:ascii="Arial" w:eastAsia="Adobe Myungjo Std M" w:hAnsi="Arial" w:cs="Arial"/>
        </w:rPr>
        <w:t xml:space="preserve"> as well as analysis and evaluation of current issues, trends</w:t>
      </w:r>
      <w:r w:rsidR="00DE79CE">
        <w:rPr>
          <w:rFonts w:ascii="Arial" w:eastAsia="Adobe Myungjo Std M" w:hAnsi="Arial" w:cs="Arial"/>
        </w:rPr>
        <w:t>,</w:t>
      </w:r>
      <w:r w:rsidRPr="00CC1BC2">
        <w:rPr>
          <w:rFonts w:ascii="Arial" w:eastAsia="Adobe Myungjo Std M" w:hAnsi="Arial" w:cs="Arial"/>
        </w:rPr>
        <w:t xml:space="preserve"> and opportunities applicable to the business.</w:t>
      </w:r>
      <w:r w:rsidR="00821CA6">
        <w:rPr>
          <w:rFonts w:ascii="Arial" w:eastAsia="Adobe Myungjo Std M" w:hAnsi="Arial" w:cs="Arial"/>
        </w:rPr>
        <w:t xml:space="preserve"> </w:t>
      </w:r>
      <w:r w:rsidRPr="00CC1BC2">
        <w:rPr>
          <w:rFonts w:ascii="Arial" w:eastAsia="Adobe Myungjo Std M" w:hAnsi="Arial" w:cs="Arial"/>
        </w:rPr>
        <w:t>The micro nature of many enterprises continues to be a limiting factor to success.</w:t>
      </w:r>
    </w:p>
    <w:p w:rsidR="00CC1BC2" w:rsidRPr="00CC1BC2" w:rsidRDefault="00CC1BC2" w:rsidP="00CC1BC2">
      <w:pPr>
        <w:rPr>
          <w:rFonts w:ascii="Arial" w:eastAsia="Adobe Myungjo Std M" w:hAnsi="Arial" w:cs="Arial"/>
        </w:rPr>
      </w:pPr>
    </w:p>
    <w:p w:rsidR="00CC1BC2" w:rsidRPr="00CC1BC2" w:rsidRDefault="00AC0201" w:rsidP="00CC1BC2">
      <w:pPr>
        <w:rPr>
          <w:rFonts w:ascii="Arial" w:eastAsia="Adobe Myungjo Std M" w:hAnsi="Arial" w:cs="Arial"/>
        </w:rPr>
      </w:pPr>
      <w:r>
        <w:rPr>
          <w:rFonts w:ascii="Arial" w:eastAsia="Adobe Myungjo Std M" w:hAnsi="Arial" w:cs="Arial"/>
        </w:rPr>
        <w:t>The more successful</w:t>
      </w:r>
      <w:r w:rsidR="00CC1BC2" w:rsidRPr="00CC1BC2">
        <w:rPr>
          <w:rFonts w:ascii="Arial" w:eastAsia="Adobe Myungjo Std M" w:hAnsi="Arial" w:cs="Arial"/>
        </w:rPr>
        <w:t xml:space="preserve"> reports were able to effectively incorporate all financial documents accurately</w:t>
      </w:r>
      <w:r w:rsidR="00DE79CE">
        <w:rPr>
          <w:rFonts w:ascii="Arial" w:eastAsia="Adobe Myungjo Std M" w:hAnsi="Arial" w:cs="Arial"/>
        </w:rPr>
        <w:t>;</w:t>
      </w:r>
      <w:r w:rsidR="00CC1BC2" w:rsidRPr="00CC1BC2">
        <w:rPr>
          <w:rFonts w:ascii="Arial" w:eastAsia="Adobe Myungjo Std M" w:hAnsi="Arial" w:cs="Arial"/>
        </w:rPr>
        <w:t xml:space="preserve"> however</w:t>
      </w:r>
      <w:r w:rsidR="00DE79CE">
        <w:rPr>
          <w:rFonts w:ascii="Arial" w:eastAsia="Adobe Myungjo Std M" w:hAnsi="Arial" w:cs="Arial"/>
        </w:rPr>
        <w:t>,</w:t>
      </w:r>
      <w:r w:rsidR="00CC1BC2" w:rsidRPr="00CC1BC2">
        <w:rPr>
          <w:rFonts w:ascii="Arial" w:eastAsia="Adobe Myungjo Std M" w:hAnsi="Arial" w:cs="Arial"/>
        </w:rPr>
        <w:t xml:space="preserve"> many were still missing the bank reconciliation </w:t>
      </w:r>
      <w:r w:rsidR="005F4200">
        <w:rPr>
          <w:rFonts w:ascii="Arial" w:eastAsia="Adobe Myungjo Std M" w:hAnsi="Arial" w:cs="Arial"/>
        </w:rPr>
        <w:t>that is one of</w:t>
      </w:r>
      <w:r>
        <w:rPr>
          <w:rFonts w:ascii="Arial" w:eastAsia="Adobe Myungjo Std M" w:hAnsi="Arial" w:cs="Arial"/>
        </w:rPr>
        <w:t xml:space="preserve"> the requirements in the subject o</w:t>
      </w:r>
      <w:r w:rsidR="00CC1BC2" w:rsidRPr="00CC1BC2">
        <w:rPr>
          <w:rFonts w:ascii="Arial" w:eastAsia="Adobe Myungjo Std M" w:hAnsi="Arial" w:cs="Arial"/>
        </w:rPr>
        <w:t>utline.</w:t>
      </w:r>
    </w:p>
    <w:p w:rsidR="001A0F23" w:rsidRPr="00CC1BC2" w:rsidRDefault="00532959">
      <w:pPr>
        <w:pStyle w:val="Heading2"/>
        <w:rPr>
          <w:rFonts w:ascii="Arial" w:eastAsia="Adobe Myungjo Std M" w:hAnsi="Arial" w:cs="Arial"/>
        </w:rPr>
      </w:pPr>
      <w:r w:rsidRPr="00CC1BC2">
        <w:rPr>
          <w:rFonts w:ascii="Arial" w:eastAsia="Adobe Myungjo Std M" w:hAnsi="Arial" w:cs="Arial"/>
        </w:rPr>
        <w:t>Operational Advice</w:t>
      </w:r>
    </w:p>
    <w:p w:rsidR="001B1E9F" w:rsidRDefault="001B1E9F" w:rsidP="001B1E9F">
      <w:pPr>
        <w:pStyle w:val="BodyText1"/>
      </w:pPr>
      <w:r>
        <w:t>School assessment tasks are set and marked by teachers. Teachers’ assessment decisions are reviewed by moderators. Teacher grades/marks should be evident on all student school assessment work.</w:t>
      </w:r>
    </w:p>
    <w:p w:rsidR="000B7AB3" w:rsidRPr="000B7AB3" w:rsidRDefault="000B7AB3" w:rsidP="0060182F">
      <w:pPr>
        <w:pStyle w:val="BodyText1"/>
        <w:rPr>
          <w:sz w:val="24"/>
          <w:szCs w:val="24"/>
        </w:rPr>
      </w:pPr>
      <w:r w:rsidRPr="000B7AB3">
        <w:t>Teac</w:t>
      </w:r>
      <w:r w:rsidR="0060182F">
        <w:t xml:space="preserve">hers </w:t>
      </w:r>
      <w:r w:rsidR="001B1E9F">
        <w:t>should</w:t>
      </w:r>
      <w:r w:rsidR="0060182F">
        <w:t xml:space="preserve"> use the learning and assessment plan a</w:t>
      </w:r>
      <w:r w:rsidRPr="000B7AB3">
        <w:t xml:space="preserve">ddendum when they have modified their plan. The packaging and presentation of materials was generally very good. Packages that </w:t>
      </w:r>
      <w:proofErr w:type="gramStart"/>
      <w:r w:rsidRPr="000B7AB3">
        <w:t xml:space="preserve">were </w:t>
      </w:r>
      <w:r w:rsidR="00AD136E">
        <w:t>sorted</w:t>
      </w:r>
      <w:proofErr w:type="gramEnd"/>
      <w:r w:rsidRPr="000B7AB3">
        <w:t xml:space="preserve"> into assess</w:t>
      </w:r>
      <w:r w:rsidR="00580317">
        <w:t>ment types, which included task</w:t>
      </w:r>
      <w:r w:rsidRPr="000B7AB3">
        <w:t xml:space="preserve"> sheets being </w:t>
      </w:r>
      <w:r w:rsidR="00FB5FCD">
        <w:t>attached</w:t>
      </w:r>
      <w:r w:rsidR="00FB5FCD" w:rsidRPr="000B7AB3">
        <w:t xml:space="preserve"> </w:t>
      </w:r>
      <w:r w:rsidRPr="000B7AB3">
        <w:t>to student work</w:t>
      </w:r>
      <w:r w:rsidR="00DE79CE">
        <w:t>,</w:t>
      </w:r>
      <w:r w:rsidRPr="000B7AB3">
        <w:t xml:space="preserve"> meant </w:t>
      </w:r>
      <w:r w:rsidR="005F4200">
        <w:t xml:space="preserve">that </w:t>
      </w:r>
      <w:r w:rsidRPr="000B7AB3">
        <w:t xml:space="preserve">the moderation process was able to run smoothly. Teachers are encouraged to include </w:t>
      </w:r>
      <w:r w:rsidR="0060182F">
        <w:t xml:space="preserve">comments </w:t>
      </w:r>
      <w:r w:rsidRPr="000B7AB3">
        <w:t>on student work</w:t>
      </w:r>
      <w:r w:rsidR="00580317">
        <w:t xml:space="preserve"> as</w:t>
      </w:r>
      <w:r w:rsidRPr="000B7AB3">
        <w:t xml:space="preserve"> this assists in the moderation </w:t>
      </w:r>
      <w:r w:rsidRPr="00580317">
        <w:rPr>
          <w:szCs w:val="22"/>
        </w:rPr>
        <w:t>process. On several occasions it was noted that student work was missing from the chosen sample. If this work is not able to be submitted</w:t>
      </w:r>
      <w:r w:rsidR="00DE79CE">
        <w:rPr>
          <w:szCs w:val="22"/>
        </w:rPr>
        <w:t>,</w:t>
      </w:r>
      <w:r w:rsidRPr="00580317">
        <w:rPr>
          <w:szCs w:val="22"/>
        </w:rPr>
        <w:t xml:space="preserve"> then teachers need to complete </w:t>
      </w:r>
      <w:r w:rsidR="0060182F">
        <w:rPr>
          <w:szCs w:val="22"/>
        </w:rPr>
        <w:t xml:space="preserve">and submit </w:t>
      </w:r>
      <w:r w:rsidR="00FB5FCD">
        <w:rPr>
          <w:szCs w:val="22"/>
        </w:rPr>
        <w:t xml:space="preserve">a </w:t>
      </w:r>
      <w:r w:rsidRPr="00580317">
        <w:rPr>
          <w:szCs w:val="22"/>
        </w:rPr>
        <w:t>Variations</w:t>
      </w:r>
      <w:r w:rsidR="00DE79CE">
        <w:rPr>
          <w:szCs w:val="22"/>
        </w:rPr>
        <w:t xml:space="preserve"> —</w:t>
      </w:r>
      <w:r w:rsidRPr="00580317">
        <w:rPr>
          <w:szCs w:val="22"/>
        </w:rPr>
        <w:t xml:space="preserve"> M</w:t>
      </w:r>
      <w:r w:rsidR="0060182F">
        <w:rPr>
          <w:szCs w:val="22"/>
        </w:rPr>
        <w:t xml:space="preserve">oderation Materials form, </w:t>
      </w:r>
      <w:r w:rsidRPr="00580317">
        <w:rPr>
          <w:szCs w:val="22"/>
        </w:rPr>
        <w:t>which can be found on the SACE website.</w:t>
      </w:r>
    </w:p>
    <w:p w:rsidR="001A0F23" w:rsidRPr="000B7AB3" w:rsidRDefault="001A0F23" w:rsidP="000B7AB3">
      <w:pPr>
        <w:pStyle w:val="dotpoints"/>
        <w:numPr>
          <w:ilvl w:val="0"/>
          <w:numId w:val="0"/>
        </w:numPr>
      </w:pPr>
    </w:p>
    <w:p w:rsidR="001A0F23" w:rsidRPr="00231498" w:rsidRDefault="00C96D9B" w:rsidP="009E11AF">
      <w:pPr>
        <w:rPr>
          <w:rFonts w:ascii="Arial" w:hAnsi="Arial" w:cs="Arial"/>
          <w:szCs w:val="22"/>
        </w:rPr>
      </w:pPr>
      <w:r w:rsidRPr="00231498">
        <w:rPr>
          <w:rFonts w:ascii="Arial" w:hAnsi="Arial" w:cs="Arial"/>
          <w:szCs w:val="22"/>
        </w:rPr>
        <w:t>Business and Enterprise</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4C" w:rsidRDefault="003A634C">
      <w:r>
        <w:separator/>
      </w:r>
    </w:p>
  </w:endnote>
  <w:endnote w:type="continuationSeparator" w:id="0">
    <w:p w:rsidR="003A634C" w:rsidRDefault="003A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Myungjo Std M">
    <w:panose1 w:val="00000000000000000000"/>
    <w:charset w:val="80"/>
    <w:family w:val="roman"/>
    <w:notTrueType/>
    <w:pitch w:val="variable"/>
    <w:sig w:usb0="800002A7" w:usb1="29D7FCFB"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8A3E1E">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8A3E1E">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DF6371" w:rsidRDefault="00DF6371" w:rsidP="000A7E3A">
    <w:pPr>
      <w:pStyle w:val="Footer"/>
      <w:tabs>
        <w:tab w:val="clear" w:pos="4153"/>
      </w:tabs>
      <w:ind w:right="91"/>
      <w:rPr>
        <w:rFonts w:ascii="Arial" w:hAnsi="Arial" w:cs="Arial"/>
        <w:sz w:val="18"/>
        <w:szCs w:val="18"/>
        <w:lang w:val="en-US"/>
      </w:rPr>
    </w:pPr>
    <w:r w:rsidRPr="00DF6371">
      <w:rPr>
        <w:rFonts w:ascii="Arial" w:hAnsi="Arial" w:cs="Arial"/>
        <w:sz w:val="18"/>
        <w:szCs w:val="18"/>
        <w:lang w:val="en-US"/>
      </w:rPr>
      <w:t>Business and Enterprise</w:t>
    </w:r>
    <w:r w:rsidR="009C1816" w:rsidRPr="00DF6371">
      <w:rPr>
        <w:rFonts w:ascii="Arial" w:hAnsi="Arial" w:cs="Arial"/>
        <w:sz w:val="18"/>
        <w:szCs w:val="18"/>
        <w:lang w:val="en-US"/>
      </w:rPr>
      <w:t xml:space="preserve"> </w:t>
    </w:r>
    <w:r w:rsidR="008D4935" w:rsidRPr="00DF6371">
      <w:rPr>
        <w:rFonts w:ascii="Arial" w:hAnsi="Arial" w:cs="Arial"/>
        <w:sz w:val="18"/>
        <w:szCs w:val="18"/>
        <w:lang w:val="en-US"/>
      </w:rPr>
      <w:t xml:space="preserve">2014 </w:t>
    </w:r>
    <w:r w:rsidR="000A7E3A" w:rsidRPr="00DF6371">
      <w:rPr>
        <w:rFonts w:ascii="Arial" w:hAnsi="Arial" w:cs="Arial"/>
        <w:sz w:val="18"/>
        <w:szCs w:val="18"/>
        <w:lang w:val="en-US"/>
      </w:rPr>
      <w:t>Chief Assessor’s</w:t>
    </w:r>
    <w:r w:rsidR="009C1816" w:rsidRPr="00DF6371">
      <w:rPr>
        <w:rFonts w:ascii="Arial" w:hAnsi="Arial" w:cs="Arial"/>
        <w:sz w:val="18"/>
        <w:szCs w:val="18"/>
        <w:lang w:val="en-US"/>
      </w:rPr>
      <w:t xml:space="preserve"> Report</w:t>
    </w:r>
    <w:r w:rsidR="009C1816" w:rsidRPr="00DF6371">
      <w:rPr>
        <w:rFonts w:ascii="Arial" w:hAnsi="Arial" w:cs="Arial"/>
        <w:sz w:val="18"/>
        <w:szCs w:val="18"/>
        <w:lang w:val="en-US"/>
      </w:rPr>
      <w:tab/>
      <w:t xml:space="preserve">Page </w:t>
    </w:r>
    <w:r w:rsidR="008A3E1E" w:rsidRPr="00DF6371">
      <w:rPr>
        <w:rFonts w:ascii="Arial" w:hAnsi="Arial" w:cs="Arial"/>
        <w:sz w:val="18"/>
        <w:szCs w:val="18"/>
        <w:lang w:val="en-US"/>
      </w:rPr>
      <w:fldChar w:fldCharType="begin"/>
    </w:r>
    <w:r w:rsidR="009C1816" w:rsidRPr="00DF6371">
      <w:rPr>
        <w:rFonts w:ascii="Arial" w:hAnsi="Arial" w:cs="Arial"/>
        <w:sz w:val="18"/>
        <w:szCs w:val="18"/>
        <w:lang w:val="en-US"/>
      </w:rPr>
      <w:instrText xml:space="preserve"> PAGE </w:instrText>
    </w:r>
    <w:r w:rsidR="008A3E1E" w:rsidRPr="00DF6371">
      <w:rPr>
        <w:rFonts w:ascii="Arial" w:hAnsi="Arial" w:cs="Arial"/>
        <w:sz w:val="18"/>
        <w:szCs w:val="18"/>
        <w:lang w:val="en-US"/>
      </w:rPr>
      <w:fldChar w:fldCharType="separate"/>
    </w:r>
    <w:r w:rsidR="000A661B">
      <w:rPr>
        <w:rFonts w:ascii="Arial" w:hAnsi="Arial" w:cs="Arial"/>
        <w:noProof/>
        <w:sz w:val="18"/>
        <w:szCs w:val="18"/>
        <w:lang w:val="en-US"/>
      </w:rPr>
      <w:t>6</w:t>
    </w:r>
    <w:r w:rsidR="008A3E1E" w:rsidRPr="00DF6371">
      <w:rPr>
        <w:rFonts w:ascii="Arial" w:hAnsi="Arial" w:cs="Arial"/>
        <w:sz w:val="18"/>
        <w:szCs w:val="18"/>
        <w:lang w:val="en-US"/>
      </w:rPr>
      <w:fldChar w:fldCharType="end"/>
    </w:r>
    <w:r w:rsidR="009C1816" w:rsidRPr="00DF6371">
      <w:rPr>
        <w:rFonts w:ascii="Arial" w:hAnsi="Arial" w:cs="Arial"/>
        <w:sz w:val="18"/>
        <w:szCs w:val="18"/>
        <w:lang w:val="en-US"/>
      </w:rPr>
      <w:t xml:space="preserve"> of </w:t>
    </w:r>
    <w:r w:rsidR="008A3E1E" w:rsidRPr="00DF6371">
      <w:rPr>
        <w:rFonts w:ascii="Arial" w:hAnsi="Arial" w:cs="Arial"/>
        <w:sz w:val="18"/>
        <w:szCs w:val="18"/>
        <w:lang w:val="en-US"/>
      </w:rPr>
      <w:fldChar w:fldCharType="begin"/>
    </w:r>
    <w:r w:rsidR="009C1816" w:rsidRPr="00DF6371">
      <w:rPr>
        <w:rFonts w:ascii="Arial" w:hAnsi="Arial" w:cs="Arial"/>
        <w:sz w:val="18"/>
        <w:szCs w:val="18"/>
        <w:lang w:val="en-US"/>
      </w:rPr>
      <w:instrText xml:space="preserve"> NUMPAGES </w:instrText>
    </w:r>
    <w:r w:rsidR="008A3E1E" w:rsidRPr="00DF6371">
      <w:rPr>
        <w:rFonts w:ascii="Arial" w:hAnsi="Arial" w:cs="Arial"/>
        <w:sz w:val="18"/>
        <w:szCs w:val="18"/>
        <w:lang w:val="en-US"/>
      </w:rPr>
      <w:fldChar w:fldCharType="separate"/>
    </w:r>
    <w:r w:rsidR="000A661B">
      <w:rPr>
        <w:rFonts w:ascii="Arial" w:hAnsi="Arial" w:cs="Arial"/>
        <w:noProof/>
        <w:sz w:val="18"/>
        <w:szCs w:val="18"/>
        <w:lang w:val="en-US"/>
      </w:rPr>
      <w:t>6</w:t>
    </w:r>
    <w:r w:rsidR="008A3E1E" w:rsidRPr="00DF6371">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8A3E1E">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4C" w:rsidRDefault="003A634C">
      <w:r>
        <w:separator/>
      </w:r>
    </w:p>
  </w:footnote>
  <w:footnote w:type="continuationSeparator" w:id="0">
    <w:p w:rsidR="003A634C" w:rsidRDefault="003A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124034"/>
    <w:lvl w:ilvl="0">
      <w:start w:val="1"/>
      <w:numFmt w:val="decimal"/>
      <w:lvlText w:val="%1."/>
      <w:lvlJc w:val="left"/>
      <w:pPr>
        <w:tabs>
          <w:tab w:val="num" w:pos="1492"/>
        </w:tabs>
        <w:ind w:left="1492" w:hanging="360"/>
      </w:pPr>
    </w:lvl>
  </w:abstractNum>
  <w:abstractNum w:abstractNumId="1">
    <w:nsid w:val="FFFFFF7D"/>
    <w:multiLevelType w:val="singleLevel"/>
    <w:tmpl w:val="632620A2"/>
    <w:lvl w:ilvl="0">
      <w:start w:val="1"/>
      <w:numFmt w:val="decimal"/>
      <w:lvlText w:val="%1."/>
      <w:lvlJc w:val="left"/>
      <w:pPr>
        <w:tabs>
          <w:tab w:val="num" w:pos="1209"/>
        </w:tabs>
        <w:ind w:left="1209" w:hanging="360"/>
      </w:pPr>
    </w:lvl>
  </w:abstractNum>
  <w:abstractNum w:abstractNumId="2">
    <w:nsid w:val="FFFFFF7E"/>
    <w:multiLevelType w:val="singleLevel"/>
    <w:tmpl w:val="8CB47430"/>
    <w:lvl w:ilvl="0">
      <w:start w:val="1"/>
      <w:numFmt w:val="decimal"/>
      <w:lvlText w:val="%1."/>
      <w:lvlJc w:val="left"/>
      <w:pPr>
        <w:tabs>
          <w:tab w:val="num" w:pos="926"/>
        </w:tabs>
        <w:ind w:left="926" w:hanging="360"/>
      </w:pPr>
    </w:lvl>
  </w:abstractNum>
  <w:abstractNum w:abstractNumId="3">
    <w:nsid w:val="FFFFFF7F"/>
    <w:multiLevelType w:val="singleLevel"/>
    <w:tmpl w:val="05C487DE"/>
    <w:lvl w:ilvl="0">
      <w:start w:val="1"/>
      <w:numFmt w:val="decimal"/>
      <w:lvlText w:val="%1."/>
      <w:lvlJc w:val="left"/>
      <w:pPr>
        <w:tabs>
          <w:tab w:val="num" w:pos="643"/>
        </w:tabs>
        <w:ind w:left="643" w:hanging="360"/>
      </w:pPr>
    </w:lvl>
  </w:abstractNum>
  <w:abstractNum w:abstractNumId="4">
    <w:nsid w:val="FFFFFF80"/>
    <w:multiLevelType w:val="singleLevel"/>
    <w:tmpl w:val="617EBA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E0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1AB0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DA6D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6AAD8A"/>
    <w:lvl w:ilvl="0">
      <w:start w:val="1"/>
      <w:numFmt w:val="decimal"/>
      <w:lvlText w:val="%1."/>
      <w:lvlJc w:val="left"/>
      <w:pPr>
        <w:tabs>
          <w:tab w:val="num" w:pos="360"/>
        </w:tabs>
        <w:ind w:left="360" w:hanging="360"/>
      </w:pPr>
    </w:lvl>
  </w:abstractNum>
  <w:abstractNum w:abstractNumId="9">
    <w:nsid w:val="FFFFFF89"/>
    <w:multiLevelType w:val="singleLevel"/>
    <w:tmpl w:val="ADA64FDA"/>
    <w:lvl w:ilvl="0">
      <w:start w:val="1"/>
      <w:numFmt w:val="bullet"/>
      <w:lvlText w:val=""/>
      <w:lvlJc w:val="left"/>
      <w:pPr>
        <w:tabs>
          <w:tab w:val="num" w:pos="360"/>
        </w:tabs>
        <w:ind w:left="360" w:hanging="360"/>
      </w:pPr>
      <w:rPr>
        <w:rFonts w:ascii="Symbol" w:hAnsi="Symbol" w:hint="default"/>
      </w:rPr>
    </w:lvl>
  </w:abstractNum>
  <w:abstractNum w:abstractNumId="10">
    <w:nsid w:val="09E24206"/>
    <w:multiLevelType w:val="hybridMultilevel"/>
    <w:tmpl w:val="586ED5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80D5FC3"/>
    <w:multiLevelType w:val="hybridMultilevel"/>
    <w:tmpl w:val="3380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A178A"/>
    <w:multiLevelType w:val="hybridMultilevel"/>
    <w:tmpl w:val="5C9C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BF1BFE"/>
    <w:multiLevelType w:val="hybridMultilevel"/>
    <w:tmpl w:val="2F32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194372"/>
    <w:multiLevelType w:val="hybridMultilevel"/>
    <w:tmpl w:val="790C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8"/>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6"/>
  </w:num>
  <w:num w:numId="18">
    <w:abstractNumId w:val="13"/>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cia Yandell">
    <w15:presenceInfo w15:providerId="None" w15:userId="Tricia Yan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0AC9"/>
    <w:rsid w:val="00012027"/>
    <w:rsid w:val="00031019"/>
    <w:rsid w:val="00033664"/>
    <w:rsid w:val="0003748A"/>
    <w:rsid w:val="00043162"/>
    <w:rsid w:val="0004325A"/>
    <w:rsid w:val="0004417C"/>
    <w:rsid w:val="00054F9D"/>
    <w:rsid w:val="0007081C"/>
    <w:rsid w:val="0008384F"/>
    <w:rsid w:val="000A661B"/>
    <w:rsid w:val="000A7E3A"/>
    <w:rsid w:val="000B51DE"/>
    <w:rsid w:val="000B5609"/>
    <w:rsid w:val="000B7AB3"/>
    <w:rsid w:val="000C3880"/>
    <w:rsid w:val="000C7C0A"/>
    <w:rsid w:val="000E38F3"/>
    <w:rsid w:val="000E4E6A"/>
    <w:rsid w:val="000F4896"/>
    <w:rsid w:val="0010157A"/>
    <w:rsid w:val="00113786"/>
    <w:rsid w:val="001138EE"/>
    <w:rsid w:val="00136B1E"/>
    <w:rsid w:val="001474AD"/>
    <w:rsid w:val="00160240"/>
    <w:rsid w:val="001659FE"/>
    <w:rsid w:val="00165AA5"/>
    <w:rsid w:val="001A0F23"/>
    <w:rsid w:val="001A72E3"/>
    <w:rsid w:val="001B0589"/>
    <w:rsid w:val="001B1E9F"/>
    <w:rsid w:val="001B602D"/>
    <w:rsid w:val="001C65C8"/>
    <w:rsid w:val="001C7099"/>
    <w:rsid w:val="001F3325"/>
    <w:rsid w:val="001F4153"/>
    <w:rsid w:val="002042D6"/>
    <w:rsid w:val="00225FC5"/>
    <w:rsid w:val="00227423"/>
    <w:rsid w:val="00231498"/>
    <w:rsid w:val="00247A2D"/>
    <w:rsid w:val="002638E7"/>
    <w:rsid w:val="00290129"/>
    <w:rsid w:val="002948CC"/>
    <w:rsid w:val="002A00B7"/>
    <w:rsid w:val="002A21C2"/>
    <w:rsid w:val="002B625C"/>
    <w:rsid w:val="002C28B3"/>
    <w:rsid w:val="002C5A36"/>
    <w:rsid w:val="002C62D8"/>
    <w:rsid w:val="002D74ED"/>
    <w:rsid w:val="002F2A66"/>
    <w:rsid w:val="003010DF"/>
    <w:rsid w:val="00312191"/>
    <w:rsid w:val="003463FB"/>
    <w:rsid w:val="00355FAC"/>
    <w:rsid w:val="00361D31"/>
    <w:rsid w:val="003671C1"/>
    <w:rsid w:val="003918FC"/>
    <w:rsid w:val="003A5E55"/>
    <w:rsid w:val="003A634C"/>
    <w:rsid w:val="003C458C"/>
    <w:rsid w:val="003C7581"/>
    <w:rsid w:val="003D6BFB"/>
    <w:rsid w:val="0041347E"/>
    <w:rsid w:val="0046389B"/>
    <w:rsid w:val="004875CD"/>
    <w:rsid w:val="004C50EF"/>
    <w:rsid w:val="004D0F80"/>
    <w:rsid w:val="004D2A53"/>
    <w:rsid w:val="004D59AE"/>
    <w:rsid w:val="004E77C7"/>
    <w:rsid w:val="0051645D"/>
    <w:rsid w:val="0053196F"/>
    <w:rsid w:val="00532959"/>
    <w:rsid w:val="0054076D"/>
    <w:rsid w:val="0054731C"/>
    <w:rsid w:val="00560F4B"/>
    <w:rsid w:val="00574A4E"/>
    <w:rsid w:val="00580317"/>
    <w:rsid w:val="00597399"/>
    <w:rsid w:val="005B1FDF"/>
    <w:rsid w:val="005D713B"/>
    <w:rsid w:val="005E285A"/>
    <w:rsid w:val="005F4200"/>
    <w:rsid w:val="0060182F"/>
    <w:rsid w:val="00603E07"/>
    <w:rsid w:val="006047FB"/>
    <w:rsid w:val="00613FDD"/>
    <w:rsid w:val="006246EA"/>
    <w:rsid w:val="006343A6"/>
    <w:rsid w:val="0066363A"/>
    <w:rsid w:val="00663BA6"/>
    <w:rsid w:val="00664156"/>
    <w:rsid w:val="00670C4F"/>
    <w:rsid w:val="006829AF"/>
    <w:rsid w:val="00684BC5"/>
    <w:rsid w:val="006951B8"/>
    <w:rsid w:val="006C3FEB"/>
    <w:rsid w:val="006C4AC7"/>
    <w:rsid w:val="006D46C9"/>
    <w:rsid w:val="006D56E4"/>
    <w:rsid w:val="006D663D"/>
    <w:rsid w:val="006E51DA"/>
    <w:rsid w:val="0072478E"/>
    <w:rsid w:val="00744570"/>
    <w:rsid w:val="00757A06"/>
    <w:rsid w:val="00784959"/>
    <w:rsid w:val="00786079"/>
    <w:rsid w:val="00786420"/>
    <w:rsid w:val="0079634D"/>
    <w:rsid w:val="007A2A86"/>
    <w:rsid w:val="007C16AD"/>
    <w:rsid w:val="007C314F"/>
    <w:rsid w:val="00821CA6"/>
    <w:rsid w:val="00826501"/>
    <w:rsid w:val="0083404B"/>
    <w:rsid w:val="00847D4F"/>
    <w:rsid w:val="00853C3A"/>
    <w:rsid w:val="008679D7"/>
    <w:rsid w:val="008A3E1E"/>
    <w:rsid w:val="008D4935"/>
    <w:rsid w:val="008D6093"/>
    <w:rsid w:val="008F68EB"/>
    <w:rsid w:val="008F73A0"/>
    <w:rsid w:val="009446DD"/>
    <w:rsid w:val="00951B11"/>
    <w:rsid w:val="009867AC"/>
    <w:rsid w:val="00992355"/>
    <w:rsid w:val="009A443D"/>
    <w:rsid w:val="009A4917"/>
    <w:rsid w:val="009B43FA"/>
    <w:rsid w:val="009B44BF"/>
    <w:rsid w:val="009B5EE0"/>
    <w:rsid w:val="009C1816"/>
    <w:rsid w:val="009D13AD"/>
    <w:rsid w:val="009E11AF"/>
    <w:rsid w:val="009E2689"/>
    <w:rsid w:val="009F4384"/>
    <w:rsid w:val="009F78D3"/>
    <w:rsid w:val="00A16AF8"/>
    <w:rsid w:val="00A53EB2"/>
    <w:rsid w:val="00A54067"/>
    <w:rsid w:val="00A55BEF"/>
    <w:rsid w:val="00A73867"/>
    <w:rsid w:val="00A74970"/>
    <w:rsid w:val="00A85040"/>
    <w:rsid w:val="00A956BA"/>
    <w:rsid w:val="00AB1BDE"/>
    <w:rsid w:val="00AB5993"/>
    <w:rsid w:val="00AB63FF"/>
    <w:rsid w:val="00AC0201"/>
    <w:rsid w:val="00AD136E"/>
    <w:rsid w:val="00AF1476"/>
    <w:rsid w:val="00AF5EF2"/>
    <w:rsid w:val="00B1461F"/>
    <w:rsid w:val="00B229F1"/>
    <w:rsid w:val="00B37AB5"/>
    <w:rsid w:val="00B55E8B"/>
    <w:rsid w:val="00B61C27"/>
    <w:rsid w:val="00B62B73"/>
    <w:rsid w:val="00B63060"/>
    <w:rsid w:val="00B64C44"/>
    <w:rsid w:val="00B67E70"/>
    <w:rsid w:val="00B7041D"/>
    <w:rsid w:val="00BA1255"/>
    <w:rsid w:val="00BA4257"/>
    <w:rsid w:val="00BA47C5"/>
    <w:rsid w:val="00BC5D12"/>
    <w:rsid w:val="00C12A14"/>
    <w:rsid w:val="00C16A7F"/>
    <w:rsid w:val="00C23850"/>
    <w:rsid w:val="00C36140"/>
    <w:rsid w:val="00C427DB"/>
    <w:rsid w:val="00C61173"/>
    <w:rsid w:val="00C86F95"/>
    <w:rsid w:val="00C87071"/>
    <w:rsid w:val="00C878D2"/>
    <w:rsid w:val="00C94D01"/>
    <w:rsid w:val="00C96D9B"/>
    <w:rsid w:val="00CA0F12"/>
    <w:rsid w:val="00CA1D18"/>
    <w:rsid w:val="00CC03DA"/>
    <w:rsid w:val="00CC1BC2"/>
    <w:rsid w:val="00CD03B9"/>
    <w:rsid w:val="00CD32DE"/>
    <w:rsid w:val="00CD6252"/>
    <w:rsid w:val="00D108CB"/>
    <w:rsid w:val="00D12B5F"/>
    <w:rsid w:val="00D27BE6"/>
    <w:rsid w:val="00D306C3"/>
    <w:rsid w:val="00D86A47"/>
    <w:rsid w:val="00DA62AE"/>
    <w:rsid w:val="00DB0401"/>
    <w:rsid w:val="00DB5AF3"/>
    <w:rsid w:val="00DB6E71"/>
    <w:rsid w:val="00DC7C11"/>
    <w:rsid w:val="00DD19CB"/>
    <w:rsid w:val="00DD6A10"/>
    <w:rsid w:val="00DD7C09"/>
    <w:rsid w:val="00DE2755"/>
    <w:rsid w:val="00DE295A"/>
    <w:rsid w:val="00DE31E2"/>
    <w:rsid w:val="00DE79CE"/>
    <w:rsid w:val="00DF2E21"/>
    <w:rsid w:val="00DF42D8"/>
    <w:rsid w:val="00DF6371"/>
    <w:rsid w:val="00E22DBF"/>
    <w:rsid w:val="00E253E3"/>
    <w:rsid w:val="00E40471"/>
    <w:rsid w:val="00E4274D"/>
    <w:rsid w:val="00E55E7F"/>
    <w:rsid w:val="00E62480"/>
    <w:rsid w:val="00E76CCB"/>
    <w:rsid w:val="00E87E9A"/>
    <w:rsid w:val="00EA125F"/>
    <w:rsid w:val="00EA2C99"/>
    <w:rsid w:val="00EB022B"/>
    <w:rsid w:val="00EB12C8"/>
    <w:rsid w:val="00EB3A73"/>
    <w:rsid w:val="00EF31AB"/>
    <w:rsid w:val="00EF3901"/>
    <w:rsid w:val="00F02D47"/>
    <w:rsid w:val="00F5454B"/>
    <w:rsid w:val="00F61739"/>
    <w:rsid w:val="00F802C4"/>
    <w:rsid w:val="00FA5691"/>
    <w:rsid w:val="00FB5FCD"/>
    <w:rsid w:val="00FC1827"/>
    <w:rsid w:val="00FF4D0F"/>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98"/>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231498"/>
    <w:pPr>
      <w:keepNext/>
      <w:outlineLvl w:val="2"/>
    </w:pPr>
    <w:rPr>
      <w:rFonts w:ascii="Arial" w:hAnsi="Arial"/>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6371"/>
    <w:pPr>
      <w:spacing w:before="360" w:after="24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CC1BC2"/>
    <w:pPr>
      <w:ind w:left="720"/>
      <w:contextualSpacing/>
    </w:pPr>
    <w:rPr>
      <w:rFonts w:asciiTheme="minorHAnsi" w:eastAsiaTheme="minorEastAsia" w:hAnsiTheme="minorHAnsi" w:cstheme="minorBidi"/>
      <w:sz w:val="24"/>
      <w:szCs w:val="24"/>
      <w:lang w:val="en-US"/>
    </w:rPr>
  </w:style>
  <w:style w:type="paragraph" w:customStyle="1" w:styleId="SOFinalBodyText">
    <w:name w:val="SO Final Body Text"/>
    <w:link w:val="SOFinalBodyTextCharChar"/>
    <w:rsid w:val="00B229F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B229F1"/>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98"/>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231498"/>
    <w:pPr>
      <w:keepNext/>
      <w:outlineLvl w:val="2"/>
    </w:pPr>
    <w:rPr>
      <w:rFonts w:ascii="Arial" w:hAnsi="Arial"/>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6371"/>
    <w:pPr>
      <w:spacing w:before="360" w:after="24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CC1BC2"/>
    <w:pPr>
      <w:ind w:left="720"/>
      <w:contextualSpacing/>
    </w:pPr>
    <w:rPr>
      <w:rFonts w:asciiTheme="minorHAnsi" w:eastAsiaTheme="minorEastAsia" w:hAnsiTheme="minorHAnsi" w:cstheme="minorBidi"/>
      <w:sz w:val="24"/>
      <w:szCs w:val="24"/>
      <w:lang w:val="en-US"/>
    </w:rPr>
  </w:style>
  <w:style w:type="paragraph" w:customStyle="1" w:styleId="SOFinalBodyText">
    <w:name w:val="SO Final Body Text"/>
    <w:link w:val="SOFinalBodyTextCharChar"/>
    <w:rsid w:val="00B229F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B229F1"/>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A9058EB-95BA-4C68-917B-92FE393C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5</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Business and Enterprise Chief Assessor's Report</dc:title>
  <dc:creator>karenc</dc:creator>
  <cp:lastModifiedBy> </cp:lastModifiedBy>
  <cp:revision>7</cp:revision>
  <cp:lastPrinted>2014-12-03T00:00:00Z</cp:lastPrinted>
  <dcterms:created xsi:type="dcterms:W3CDTF">2015-02-05T23:08:00Z</dcterms:created>
  <dcterms:modified xsi:type="dcterms:W3CDTF">2015-02-05T23:14:00Z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A404462</vt:lpwstr>
  </property>
  <property fmtid="{D5CDD505-2E9C-101B-9397-08002B2CF9AE}" pid="3" name="Objective-Comment">
    <vt:lpwstr/>
  </property>
  <property fmtid="{D5CDD505-2E9C-101B-9397-08002B2CF9AE}" pid="4" name="Objective-CreationStamp">
    <vt:filetime>2014-12-03T00:59:53Z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2015-02-05T23:08:48Z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Business and Enterprise Chief Assessor's Report</vt:lpwstr>
  </property>
  <property fmtid="{D5CDD505-2E9C-101B-9397-08002B2CF9AE}" pid="14" name="Objective-Version">
    <vt:lpwstr>6.1</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