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1A0F23" w:rsidP="001A0F23">
      <w:pPr>
        <w:pStyle w:val="BodyText1"/>
      </w:pPr>
      <w:r>
        <w:rPr>
          <w:noProof/>
          <w:lang w:eastAsia="en-AU"/>
        </w:rPr>
        <w:drawing>
          <wp:inline distT="0" distB="0" distL="0" distR="0">
            <wp:extent cx="2263775" cy="802640"/>
            <wp:effectExtent l="0" t="0" r="3175" b="0"/>
            <wp:docPr id="1" name="Picture 1"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775" cy="802640"/>
                    </a:xfrm>
                    <a:prstGeom prst="rect">
                      <a:avLst/>
                    </a:prstGeom>
                    <a:noFill/>
                    <a:ln>
                      <a:noFill/>
                    </a:ln>
                  </pic:spPr>
                </pic:pic>
              </a:graphicData>
            </a:graphic>
          </wp:inline>
        </w:drawing>
      </w:r>
    </w:p>
    <w:p w:rsidR="001A0F23" w:rsidRDefault="001A0F23" w:rsidP="001A0F23">
      <w:pPr>
        <w:pStyle w:val="BodyText1"/>
      </w:pPr>
    </w:p>
    <w:p w:rsidR="001A0F23" w:rsidRPr="00225FC5" w:rsidRDefault="0060535F" w:rsidP="001A0F23">
      <w:pPr>
        <w:pStyle w:val="FrontPageHeading"/>
        <w:spacing w:before="4200"/>
      </w:pPr>
      <w:r>
        <w:t>Accounting</w:t>
      </w:r>
    </w:p>
    <w:p w:rsidR="001A0F23" w:rsidRPr="00225FC5" w:rsidRDefault="001A0F23" w:rsidP="001A0F23">
      <w:pPr>
        <w:pStyle w:val="FrontPageSub-heading"/>
      </w:pPr>
      <w:r>
        <w:t>201</w:t>
      </w:r>
      <w:r w:rsidR="00335C93">
        <w:t>5</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847D4F" w:rsidRDefault="0060535F">
      <w:pPr>
        <w:pStyle w:val="Heading1"/>
        <w:rPr>
          <w:lang w:val="en-US"/>
        </w:rPr>
      </w:pPr>
      <w:r>
        <w:lastRenderedPageBreak/>
        <w:t>Accounting</w:t>
      </w:r>
    </w:p>
    <w:p w:rsidR="00B1461F" w:rsidRDefault="00B1461F" w:rsidP="006047FB">
      <w:pPr>
        <w:pStyle w:val="Heading1"/>
      </w:pPr>
    </w:p>
    <w:p w:rsidR="001A0F23" w:rsidRDefault="001A0F23" w:rsidP="006047FB">
      <w:pPr>
        <w:pStyle w:val="Heading1"/>
      </w:pPr>
      <w:r>
        <w:t>201</w:t>
      </w:r>
      <w:r w:rsidR="00335C93">
        <w:t>5</w:t>
      </w:r>
      <w:r>
        <w:t xml:space="preserve"> </w:t>
      </w:r>
      <w:r w:rsidR="00B1461F">
        <w:t>Chief Assessor’s Report</w:t>
      </w:r>
    </w:p>
    <w:p w:rsidR="001A0F23" w:rsidRPr="00DF42D8" w:rsidRDefault="00532959">
      <w:pPr>
        <w:pStyle w:val="Heading2"/>
      </w:pPr>
      <w:r>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Default="00532959">
      <w:pPr>
        <w:pStyle w:val="Heading2"/>
      </w:pPr>
      <w:r>
        <w:t>School Assessment</w:t>
      </w:r>
    </w:p>
    <w:p w:rsidR="001A0F23" w:rsidRPr="00CD32DE" w:rsidRDefault="001A0F23" w:rsidP="001A0F23">
      <w:pPr>
        <w:pStyle w:val="AssessmentTypeHeading"/>
      </w:pPr>
      <w:r w:rsidRPr="00CD32DE">
        <w:t xml:space="preserve">Assessment Type 1: </w:t>
      </w:r>
      <w:r w:rsidR="0060535F" w:rsidRPr="0060535F">
        <w:t>Skills and Applications Tasks</w:t>
      </w:r>
    </w:p>
    <w:p w:rsidR="0060535F" w:rsidRPr="00275432" w:rsidRDefault="0060535F" w:rsidP="00275432">
      <w:pPr>
        <w:pStyle w:val="BodyText1"/>
      </w:pPr>
      <w:r w:rsidRPr="00275432">
        <w:t>The skills and application</w:t>
      </w:r>
      <w:r w:rsidR="00D02C9E">
        <w:t>s</w:t>
      </w:r>
      <w:r w:rsidRPr="00275432">
        <w:t xml:space="preserve"> tasks provide an opportunity for all learning requirements from the subject outline to be explored throughout the year with varying assessment design criteria included in each task. </w:t>
      </w:r>
      <w:r w:rsidR="00EA5111">
        <w:t>Central</w:t>
      </w:r>
      <w:r w:rsidRPr="00275432">
        <w:t xml:space="preserve"> moderation</w:t>
      </w:r>
      <w:r w:rsidR="00335C93" w:rsidRPr="00275432">
        <w:t xml:space="preserve"> for this year showed an increase in</w:t>
      </w:r>
      <w:r w:rsidR="006B16AD" w:rsidRPr="00275432">
        <w:t xml:space="preserve"> </w:t>
      </w:r>
      <w:r w:rsidRPr="00275432">
        <w:t>the number of teachers who are providing high</w:t>
      </w:r>
      <w:r w:rsidR="00D02C9E">
        <w:t>-</w:t>
      </w:r>
      <w:r w:rsidRPr="00275432">
        <w:t>quality and varied tasks that allow students to display their knowledge and skills and perform at all levels of the performance standards.</w:t>
      </w:r>
    </w:p>
    <w:p w:rsidR="00B369B7" w:rsidRPr="00275432" w:rsidRDefault="008D3922" w:rsidP="00275432">
      <w:pPr>
        <w:pStyle w:val="BodyText1"/>
      </w:pPr>
      <w:r w:rsidRPr="00275432">
        <w:t xml:space="preserve">Throughout moderation it was very clear that teachers had </w:t>
      </w:r>
      <w:r w:rsidR="00B369B7" w:rsidRPr="00275432">
        <w:t xml:space="preserve">taken into account feedback and guidance provided at clarifying </w:t>
      </w:r>
      <w:r w:rsidR="00D02C9E">
        <w:t xml:space="preserve">forums </w:t>
      </w:r>
      <w:r w:rsidR="00B369B7" w:rsidRPr="00275432">
        <w:t xml:space="preserve">and in </w:t>
      </w:r>
      <w:r w:rsidR="00D02C9E">
        <w:t xml:space="preserve">previous Chief Assessor’s </w:t>
      </w:r>
      <w:r w:rsidR="00B369B7" w:rsidRPr="00275432">
        <w:t>report</w:t>
      </w:r>
      <w:r w:rsidR="00D02C9E">
        <w:t>s</w:t>
      </w:r>
      <w:r w:rsidR="00B369B7" w:rsidRPr="00275432">
        <w:t xml:space="preserve"> to develop packages of tasks that integrated topics appropriately</w:t>
      </w:r>
      <w:r w:rsidR="00D02C9E">
        <w:t xml:space="preserve"> —</w:t>
      </w:r>
      <w:r w:rsidR="00B369B7" w:rsidRPr="00275432">
        <w:t xml:space="preserve"> in particular</w:t>
      </w:r>
      <w:r w:rsidR="00D02C9E">
        <w:t>,</w:t>
      </w:r>
      <w:r w:rsidR="00B369B7" w:rsidRPr="00275432">
        <w:t xml:space="preserve"> tasks that assessed the concepts from the Environment of Accounting in context and in relation to other topics</w:t>
      </w:r>
      <w:r w:rsidR="006714BC">
        <w:t>,</w:t>
      </w:r>
      <w:r w:rsidR="00B369B7" w:rsidRPr="00275432">
        <w:t xml:space="preserve"> rather than as a stand</w:t>
      </w:r>
      <w:r w:rsidR="00D02C9E">
        <w:t>-</w:t>
      </w:r>
      <w:r w:rsidR="00B369B7" w:rsidRPr="00275432">
        <w:t>alone item.</w:t>
      </w:r>
    </w:p>
    <w:p w:rsidR="0060535F" w:rsidRPr="00275432" w:rsidRDefault="00B369B7" w:rsidP="005A4E6F">
      <w:pPr>
        <w:pStyle w:val="BodyText1"/>
      </w:pPr>
      <w:r w:rsidRPr="00275432">
        <w:t xml:space="preserve">It was </w:t>
      </w:r>
      <w:r w:rsidR="00D02C9E">
        <w:t xml:space="preserve">also </w:t>
      </w:r>
      <w:r w:rsidRPr="00275432">
        <w:t xml:space="preserve">clear that teachers had </w:t>
      </w:r>
      <w:r w:rsidR="008D3922" w:rsidRPr="00275432">
        <w:t xml:space="preserve">thought about the </w:t>
      </w:r>
      <w:r w:rsidR="00D02C9E">
        <w:t>five to eight</w:t>
      </w:r>
      <w:r w:rsidR="008D3922" w:rsidRPr="00275432">
        <w:t xml:space="preserve"> individual tasks </w:t>
      </w:r>
      <w:r w:rsidR="009A23FD">
        <w:t xml:space="preserve">that </w:t>
      </w:r>
      <w:r w:rsidR="008D3922" w:rsidRPr="00275432">
        <w:t>they presented to students</w:t>
      </w:r>
      <w:r w:rsidR="009A23FD">
        <w:t>,</w:t>
      </w:r>
      <w:r w:rsidR="008D3922" w:rsidRPr="00275432">
        <w:t xml:space="preserve"> </w:t>
      </w:r>
      <w:r w:rsidR="009A23FD">
        <w:t>and,</w:t>
      </w:r>
      <w:r w:rsidR="008D3922" w:rsidRPr="00275432">
        <w:t xml:space="preserve"> critically</w:t>
      </w:r>
      <w:r w:rsidR="009A23FD">
        <w:t>,</w:t>
      </w:r>
      <w:r w:rsidR="008D3922" w:rsidRPr="00275432">
        <w:t xml:space="preserve"> about how those tasks were delivered as a package. </w:t>
      </w:r>
      <w:r w:rsidRPr="00275432">
        <w:t xml:space="preserve">It </w:t>
      </w:r>
      <w:r w:rsidR="0003423C">
        <w:t>is</w:t>
      </w:r>
      <w:r w:rsidRPr="00275432">
        <w:t xml:space="preserve"> noted that</w:t>
      </w:r>
      <w:r w:rsidR="009A23FD">
        <w:t>,</w:t>
      </w:r>
      <w:r w:rsidRPr="00275432">
        <w:t xml:space="preserve"> </w:t>
      </w:r>
      <w:r w:rsidRPr="009D7282">
        <w:t xml:space="preserve">while </w:t>
      </w:r>
      <w:r w:rsidR="005A4E6F" w:rsidRPr="009D7282">
        <w:t xml:space="preserve">the subject outline allows for up to </w:t>
      </w:r>
      <w:r w:rsidR="00F12861" w:rsidRPr="009D7282">
        <w:t>eight</w:t>
      </w:r>
      <w:r w:rsidRPr="009D7282">
        <w:t xml:space="preserve"> tasks</w:t>
      </w:r>
      <w:r w:rsidR="009A23FD" w:rsidRPr="009D7282">
        <w:t>,</w:t>
      </w:r>
      <w:r w:rsidRPr="009D7282">
        <w:t xml:space="preserve"> there is no requirement </w:t>
      </w:r>
      <w:r w:rsidR="005A4E6F" w:rsidRPr="009D7282">
        <w:t>for a learning and assessment plan to have this maximum</w:t>
      </w:r>
      <w:r w:rsidR="0006121E" w:rsidRPr="009D7282">
        <w:t>,</w:t>
      </w:r>
      <w:r w:rsidR="0003423C" w:rsidRPr="009D7282">
        <w:t xml:space="preserve"> </w:t>
      </w:r>
      <w:r w:rsidRPr="009D7282">
        <w:t>and consideration should be given to the particular</w:t>
      </w:r>
      <w:r w:rsidRPr="00275432">
        <w:t xml:space="preserve"> </w:t>
      </w:r>
      <w:r w:rsidR="005A4E6F">
        <w:t>cohort</w:t>
      </w:r>
      <w:r w:rsidRPr="00275432">
        <w:t xml:space="preserve"> being assessed.</w:t>
      </w:r>
      <w:r w:rsidR="00A26FA3">
        <w:t xml:space="preserve"> </w:t>
      </w:r>
      <w:r w:rsidRPr="00275432">
        <w:t>Some</w:t>
      </w:r>
      <w:r w:rsidR="008D3922" w:rsidRPr="00275432">
        <w:t xml:space="preserve"> </w:t>
      </w:r>
      <w:r w:rsidRPr="00275432">
        <w:t>well-designed</w:t>
      </w:r>
      <w:r w:rsidR="008D3922" w:rsidRPr="00275432">
        <w:t xml:space="preserve"> packages </w:t>
      </w:r>
      <w:r w:rsidRPr="00275432">
        <w:t xml:space="preserve">only provided the minimum </w:t>
      </w:r>
      <w:r w:rsidR="00F12861">
        <w:t>five</w:t>
      </w:r>
      <w:r w:rsidRPr="00275432">
        <w:t xml:space="preserve"> tasks but still </w:t>
      </w:r>
      <w:r w:rsidR="008D3922" w:rsidRPr="00275432">
        <w:t xml:space="preserve">gave students multiple opportunities to respond to particular </w:t>
      </w:r>
      <w:r w:rsidR="00F12861">
        <w:t>specific features of the a</w:t>
      </w:r>
      <w:r w:rsidR="008D3922" w:rsidRPr="00275432">
        <w:t xml:space="preserve">ssessment </w:t>
      </w:r>
      <w:r w:rsidR="00F12861">
        <w:t>d</w:t>
      </w:r>
      <w:r w:rsidR="008D3922" w:rsidRPr="00275432">
        <w:t xml:space="preserve">esign </w:t>
      </w:r>
      <w:r w:rsidR="00F12861">
        <w:t>c</w:t>
      </w:r>
      <w:r w:rsidR="008D3922" w:rsidRPr="00275432">
        <w:t>riteria</w:t>
      </w:r>
      <w:r w:rsidRPr="00275432">
        <w:t xml:space="preserve">. It was </w:t>
      </w:r>
      <w:r w:rsidR="0003423C">
        <w:t>apparent</w:t>
      </w:r>
      <w:r w:rsidRPr="00275432">
        <w:t xml:space="preserve"> that these </w:t>
      </w:r>
      <w:r w:rsidR="006F75E6">
        <w:t xml:space="preserve">tasks </w:t>
      </w:r>
      <w:r w:rsidRPr="00275432">
        <w:t xml:space="preserve">had been supplemented by formative material along the way so that the moderated pieces showed the peak of </w:t>
      </w:r>
      <w:r w:rsidR="009A23FD">
        <w:t>each</w:t>
      </w:r>
      <w:r w:rsidRPr="00275432">
        <w:t xml:space="preserve"> </w:t>
      </w:r>
      <w:r w:rsidR="00744070" w:rsidRPr="00275432">
        <w:t>student’s</w:t>
      </w:r>
      <w:r w:rsidRPr="00275432">
        <w:t xml:space="preserve"> achievement</w:t>
      </w:r>
      <w:r w:rsidR="0001278D">
        <w:t>,</w:t>
      </w:r>
      <w:r w:rsidRPr="00275432">
        <w:t xml:space="preserve"> rather than some early developmental work. This </w:t>
      </w:r>
      <w:r w:rsidR="0003423C">
        <w:t xml:space="preserve">approach </w:t>
      </w:r>
      <w:r w:rsidR="008D3922" w:rsidRPr="00275432">
        <w:t>recognised the fact that as student</w:t>
      </w:r>
      <w:r w:rsidR="00737A09">
        <w:t>-</w:t>
      </w:r>
      <w:r w:rsidR="008D3922" w:rsidRPr="00275432">
        <w:t>knowledge</w:t>
      </w:r>
      <w:bookmarkStart w:id="0" w:name="_GoBack"/>
      <w:bookmarkEnd w:id="0"/>
      <w:r w:rsidR="008D3922" w:rsidRPr="00275432">
        <w:t xml:space="preserve"> </w:t>
      </w:r>
      <w:proofErr w:type="gramStart"/>
      <w:r w:rsidR="008D3922" w:rsidRPr="00275432">
        <w:t>develop</w:t>
      </w:r>
      <w:r w:rsidR="0003423C">
        <w:t>s</w:t>
      </w:r>
      <w:r w:rsidR="009A23FD">
        <w:t>,</w:t>
      </w:r>
      <w:proofErr w:type="gramEnd"/>
      <w:r w:rsidR="008D3922" w:rsidRPr="00275432">
        <w:t xml:space="preserve"> evidence of their achievement against the performance standards may also increase. </w:t>
      </w:r>
      <w:r w:rsidR="0070667A">
        <w:t>The moderation panel apprec</w:t>
      </w:r>
      <w:r w:rsidR="00292C9C">
        <w:t>iated</w:t>
      </w:r>
      <w:r w:rsidR="0070667A">
        <w:t xml:space="preserve"> seeing the t</w:t>
      </w:r>
      <w:r w:rsidR="008D3922" w:rsidRPr="00275432">
        <w:t xml:space="preserve">eacher feedback and </w:t>
      </w:r>
      <w:r w:rsidR="0070667A">
        <w:t xml:space="preserve">evidence of </w:t>
      </w:r>
      <w:r w:rsidR="008D3922" w:rsidRPr="00275432">
        <w:t>grading decisions</w:t>
      </w:r>
      <w:r w:rsidR="00292C9C">
        <w:t xml:space="preserve"> that supported this approach</w:t>
      </w:r>
      <w:r w:rsidR="008D3922" w:rsidRPr="00275432">
        <w:t>.</w:t>
      </w:r>
    </w:p>
    <w:p w:rsidR="00744070" w:rsidRPr="00275432" w:rsidRDefault="00182C71" w:rsidP="005A4E6F">
      <w:pPr>
        <w:pStyle w:val="BodyText1"/>
      </w:pPr>
      <w:r w:rsidRPr="00275432">
        <w:t xml:space="preserve">Individual tasks that assisted students in their preparation </w:t>
      </w:r>
      <w:r w:rsidR="00F12861">
        <w:t>for</w:t>
      </w:r>
      <w:r w:rsidRPr="00275432">
        <w:t xml:space="preserve"> the final exam</w:t>
      </w:r>
      <w:r w:rsidR="00A26FA3">
        <w:t>ination</w:t>
      </w:r>
      <w:r w:rsidRPr="00275432">
        <w:t xml:space="preserve"> by using similar styles of questions were well </w:t>
      </w:r>
      <w:r w:rsidR="0070667A">
        <w:t>designed</w:t>
      </w:r>
      <w:r w:rsidRPr="00275432">
        <w:t xml:space="preserve">. </w:t>
      </w:r>
      <w:r w:rsidR="00B369B7" w:rsidRPr="00275432">
        <w:t xml:space="preserve">It is important </w:t>
      </w:r>
      <w:r w:rsidR="00DE3E29" w:rsidRPr="00275432">
        <w:t>for teachers to note that while using previous examination questions as a basis for assessment tasks provides a good level of consistency, it is critical that the</w:t>
      </w:r>
      <w:r w:rsidR="0001278D">
        <w:t xml:space="preserve"> </w:t>
      </w:r>
      <w:r w:rsidR="0006121E">
        <w:t xml:space="preserve">previous examination </w:t>
      </w:r>
      <w:r w:rsidR="0001278D" w:rsidRPr="009D7282">
        <w:lastRenderedPageBreak/>
        <w:t>questions</w:t>
      </w:r>
      <w:r w:rsidR="00DE3E29" w:rsidRPr="009D7282">
        <w:t xml:space="preserve"> are develop</w:t>
      </w:r>
      <w:r w:rsidR="005A4E6F" w:rsidRPr="009D7282">
        <w:t>ed into</w:t>
      </w:r>
      <w:r w:rsidR="00DE3E29" w:rsidRPr="009D7282">
        <w:t xml:space="preserve"> new and distinct questions that take into account the</w:t>
      </w:r>
      <w:r w:rsidR="00DE3E29" w:rsidRPr="00275432">
        <w:t xml:space="preserve"> particula</w:t>
      </w:r>
      <w:r w:rsidR="003800DD">
        <w:t xml:space="preserve">r </w:t>
      </w:r>
      <w:r w:rsidR="0003423C">
        <w:t>students</w:t>
      </w:r>
      <w:r w:rsidR="003800DD">
        <w:t xml:space="preserve"> they are delivered to.</w:t>
      </w:r>
    </w:p>
    <w:p w:rsidR="00CE38BC" w:rsidRPr="00275432" w:rsidRDefault="00744070" w:rsidP="00275432">
      <w:pPr>
        <w:pStyle w:val="BodyText1"/>
      </w:pPr>
      <w:r w:rsidRPr="00275432">
        <w:t xml:space="preserve">There were some very good examples of tasks that both challenged students while still providing opportunities to </w:t>
      </w:r>
      <w:r w:rsidR="00182C71" w:rsidRPr="00275432">
        <w:t xml:space="preserve">show achievement across the full range of performance standards. </w:t>
      </w:r>
      <w:r w:rsidRPr="00275432">
        <w:t xml:space="preserve">The </w:t>
      </w:r>
      <w:r w:rsidR="007E7CA4">
        <w:t xml:space="preserve">best </w:t>
      </w:r>
      <w:r w:rsidRPr="00275432">
        <w:t xml:space="preserve">designed examples enabled </w:t>
      </w:r>
      <w:r w:rsidR="00F01589" w:rsidRPr="00275432">
        <w:t>students</w:t>
      </w:r>
      <w:r w:rsidRPr="00275432">
        <w:t xml:space="preserve"> who achieved at the highest levels to fully complete all aspects of the tasks within the required 60</w:t>
      </w:r>
      <w:r w:rsidR="0003423C">
        <w:t>-</w:t>
      </w:r>
      <w:r w:rsidRPr="00275432">
        <w:t>minute time</w:t>
      </w:r>
      <w:r w:rsidR="0003423C">
        <w:t>-</w:t>
      </w:r>
      <w:r w:rsidRPr="00275432">
        <w:t>limit</w:t>
      </w:r>
      <w:r w:rsidR="0006121E">
        <w:t>,</w:t>
      </w:r>
      <w:r w:rsidRPr="00275432">
        <w:t xml:space="preserve"> </w:t>
      </w:r>
      <w:r w:rsidR="0006121E">
        <w:t>and</w:t>
      </w:r>
      <w:r w:rsidRPr="00275432">
        <w:t xml:space="preserve"> </w:t>
      </w:r>
      <w:r w:rsidR="0006121E">
        <w:t xml:space="preserve">they </w:t>
      </w:r>
      <w:r w:rsidR="0001278D">
        <w:t xml:space="preserve">also </w:t>
      </w:r>
      <w:r w:rsidR="00F01589" w:rsidRPr="00275432">
        <w:t>chall</w:t>
      </w:r>
      <w:r w:rsidR="006B16AD" w:rsidRPr="00275432">
        <w:t>enged</w:t>
      </w:r>
      <w:r w:rsidR="00F01589" w:rsidRPr="00275432">
        <w:t xml:space="preserve"> lower</w:t>
      </w:r>
      <w:r w:rsidR="0001278D">
        <w:t>-</w:t>
      </w:r>
      <w:r w:rsidR="00F01589" w:rsidRPr="00275432">
        <w:t>performing students who may not have completed all tasks but were still given the opportunity to show achievement at those lower levels.</w:t>
      </w:r>
      <w:r w:rsidR="003B2343" w:rsidRPr="00275432">
        <w:t xml:space="preserve"> These well</w:t>
      </w:r>
      <w:r w:rsidR="00F12861">
        <w:t>-</w:t>
      </w:r>
      <w:r w:rsidR="003B2343" w:rsidRPr="00275432">
        <w:t xml:space="preserve">balanced tasks </w:t>
      </w:r>
      <w:r w:rsidR="00292C9C">
        <w:t xml:space="preserve">had a good mixture of </w:t>
      </w:r>
      <w:r w:rsidR="00292C9C" w:rsidRPr="00275432">
        <w:t>simple written and practical questio</w:t>
      </w:r>
      <w:r w:rsidR="00292C9C">
        <w:t xml:space="preserve">ns, </w:t>
      </w:r>
      <w:r w:rsidR="005252F3">
        <w:t>which</w:t>
      </w:r>
      <w:r w:rsidR="00292C9C">
        <w:t xml:space="preserve"> allowed all students to demonstrate achievement, and a range of harder questions </w:t>
      </w:r>
      <w:r w:rsidR="00292C9C" w:rsidRPr="00275432">
        <w:t>requiring higher</w:t>
      </w:r>
      <w:r w:rsidR="00292C9C">
        <w:t>-</w:t>
      </w:r>
      <w:r w:rsidR="00292C9C" w:rsidRPr="00275432">
        <w:t>order responses</w:t>
      </w:r>
      <w:r w:rsidR="00292C9C">
        <w:t xml:space="preserve">, </w:t>
      </w:r>
      <w:r w:rsidR="005252F3">
        <w:t>which</w:t>
      </w:r>
      <w:r w:rsidR="00292C9C">
        <w:t xml:space="preserve"> allowed </w:t>
      </w:r>
      <w:r w:rsidR="005252F3">
        <w:t>some students to demonstrate achievement at higher levels</w:t>
      </w:r>
      <w:r w:rsidR="003B2343" w:rsidRPr="00275432">
        <w:t>.</w:t>
      </w:r>
    </w:p>
    <w:p w:rsidR="0060535F" w:rsidRPr="00275432" w:rsidRDefault="003B2343" w:rsidP="009D7282">
      <w:pPr>
        <w:pStyle w:val="BodyText1"/>
      </w:pPr>
      <w:r w:rsidRPr="009D7282">
        <w:t>It was pleasing to not</w:t>
      </w:r>
      <w:r w:rsidR="00EA5111" w:rsidRPr="009D7282">
        <w:t>e</w:t>
      </w:r>
      <w:r w:rsidRPr="009D7282">
        <w:t xml:space="preserve"> that </w:t>
      </w:r>
      <w:r w:rsidR="0070667A" w:rsidRPr="009D7282">
        <w:t xml:space="preserve">more </w:t>
      </w:r>
      <w:r w:rsidRPr="009D7282">
        <w:t xml:space="preserve">teachers are </w:t>
      </w:r>
      <w:r w:rsidR="0070667A" w:rsidRPr="009D7282">
        <w:t xml:space="preserve">recognising </w:t>
      </w:r>
      <w:r w:rsidR="00CE38BC" w:rsidRPr="009D7282">
        <w:t xml:space="preserve">the knowledge and skills </w:t>
      </w:r>
      <w:r w:rsidR="007574A1" w:rsidRPr="009D7282">
        <w:t>students</w:t>
      </w:r>
      <w:r w:rsidR="00CE38BC" w:rsidRPr="009D7282">
        <w:t xml:space="preserve"> display</w:t>
      </w:r>
      <w:r w:rsidR="009D7282" w:rsidRPr="009D7282">
        <w:t xml:space="preserve"> in steps and calculations within tasks</w:t>
      </w:r>
      <w:r w:rsidR="00CE38BC" w:rsidRPr="009D7282">
        <w:t xml:space="preserve">. </w:t>
      </w:r>
      <w:r w:rsidRPr="009D7282">
        <w:t>E</w:t>
      </w:r>
      <w:r w:rsidR="00CE38BC" w:rsidRPr="009D7282">
        <w:t>vidence of this practice was</w:t>
      </w:r>
      <w:r w:rsidR="00CE38BC" w:rsidRPr="00275432">
        <w:t xml:space="preserve"> visible in tasks where teachers provided preformatted documents when appropriate, thus allowing students to focus on the content and </w:t>
      </w:r>
      <w:r w:rsidR="005252F3">
        <w:t xml:space="preserve">to </w:t>
      </w:r>
      <w:r w:rsidR="00CE38BC" w:rsidRPr="00275432">
        <w:t xml:space="preserve">display their ability to apply knowledge rather than remembering generic formats. These tasks were complemented by feedback and assessment decisions from teachers that </w:t>
      </w:r>
      <w:r w:rsidR="00C36F08" w:rsidRPr="00275432">
        <w:t>focused on the process rather than the final outcome. Good assessment decisions were evidenced by teachers recognising that students were achieving at a particular level even though a minor error m</w:t>
      </w:r>
      <w:r w:rsidR="005252F3">
        <w:t>ight</w:t>
      </w:r>
      <w:r w:rsidR="00C36F08" w:rsidRPr="00275432">
        <w:t xml:space="preserve"> have meant </w:t>
      </w:r>
      <w:r w:rsidR="005252F3">
        <w:t xml:space="preserve">that </w:t>
      </w:r>
      <w:r w:rsidR="00C36F08" w:rsidRPr="00275432">
        <w:t>their final answer was incorrect.</w:t>
      </w:r>
      <w:r w:rsidR="00A26FA3">
        <w:t xml:space="preserve"> </w:t>
      </w:r>
      <w:r w:rsidR="0060535F" w:rsidRPr="00275432">
        <w:t>Th</w:t>
      </w:r>
      <w:r w:rsidR="0041479B">
        <w:t>ese</w:t>
      </w:r>
      <w:r w:rsidR="0060535F" w:rsidRPr="00275432">
        <w:t xml:space="preserve"> </w:t>
      </w:r>
      <w:r w:rsidR="0070667A">
        <w:t>approach</w:t>
      </w:r>
      <w:r w:rsidR="0041479B">
        <w:t>es</w:t>
      </w:r>
      <w:r w:rsidR="0070667A">
        <w:t xml:space="preserve"> to </w:t>
      </w:r>
      <w:r w:rsidR="0060535F" w:rsidRPr="00275432">
        <w:t xml:space="preserve">assessment clearly showed a teacher’s willingness to base the ultimate decision </w:t>
      </w:r>
      <w:r w:rsidR="0001278D">
        <w:t>about</w:t>
      </w:r>
      <w:r w:rsidR="0060535F" w:rsidRPr="00275432">
        <w:t xml:space="preserve"> achievement on performance standards</w:t>
      </w:r>
      <w:r w:rsidR="0001278D">
        <w:t>,</w:t>
      </w:r>
      <w:r w:rsidR="0060535F" w:rsidRPr="00275432">
        <w:t xml:space="preserve"> with </w:t>
      </w:r>
      <w:r w:rsidR="0001278D">
        <w:t xml:space="preserve">the </w:t>
      </w:r>
      <w:r w:rsidR="0060535F" w:rsidRPr="00275432">
        <w:t xml:space="preserve">marks awarded </w:t>
      </w:r>
      <w:r w:rsidR="0001278D">
        <w:t>for</w:t>
      </w:r>
      <w:r w:rsidR="0060535F" w:rsidRPr="00275432">
        <w:t xml:space="preserve"> particular tasks </w:t>
      </w:r>
      <w:r w:rsidR="0001278D">
        <w:t>being</w:t>
      </w:r>
      <w:r w:rsidR="0060535F" w:rsidRPr="00275432">
        <w:t xml:space="preserve"> supporting evidence, rather than </w:t>
      </w:r>
      <w:r w:rsidR="0001278D">
        <w:t xml:space="preserve">being </w:t>
      </w:r>
      <w:r w:rsidR="0060535F" w:rsidRPr="00275432">
        <w:t>the critical component in the decision.</w:t>
      </w:r>
    </w:p>
    <w:p w:rsidR="001A0F23" w:rsidRPr="003C7581" w:rsidRDefault="001A0F23" w:rsidP="001A0F23">
      <w:pPr>
        <w:pStyle w:val="AssessmentTypeHeading"/>
      </w:pPr>
      <w:r w:rsidRPr="003C7581">
        <w:t xml:space="preserve">Assessment Type 2: </w:t>
      </w:r>
      <w:r w:rsidR="00275432">
        <w:t>Report</w:t>
      </w:r>
    </w:p>
    <w:p w:rsidR="00C36F08" w:rsidRPr="00275432" w:rsidRDefault="00C36F08" w:rsidP="00275432">
      <w:pPr>
        <w:pStyle w:val="BodyText1"/>
      </w:pPr>
      <w:r w:rsidRPr="00275432">
        <w:t xml:space="preserve">The </w:t>
      </w:r>
      <w:r w:rsidR="008D7630" w:rsidRPr="00275432">
        <w:t>report, as a piece of school</w:t>
      </w:r>
      <w:r w:rsidR="00F12861">
        <w:t>-</w:t>
      </w:r>
      <w:r w:rsidR="008D7630" w:rsidRPr="00275432">
        <w:t>based assessment, has continued to be embraced</w:t>
      </w:r>
      <w:r w:rsidRPr="00275432">
        <w:t xml:space="preserve"> </w:t>
      </w:r>
      <w:r w:rsidR="008D7630" w:rsidRPr="00275432">
        <w:t xml:space="preserve">by </w:t>
      </w:r>
      <w:r w:rsidRPr="00275432">
        <w:t xml:space="preserve">some teachers </w:t>
      </w:r>
      <w:r w:rsidR="008D7630" w:rsidRPr="00275432">
        <w:t>who have</w:t>
      </w:r>
      <w:r w:rsidRPr="00275432">
        <w:t xml:space="preserve"> develop</w:t>
      </w:r>
      <w:r w:rsidR="008D7630" w:rsidRPr="00275432">
        <w:t>ed</w:t>
      </w:r>
      <w:r w:rsidRPr="00275432">
        <w:t xml:space="preserve"> interesting and well-designed questions for their students. </w:t>
      </w:r>
      <w:r w:rsidR="00E11031" w:rsidRPr="00275432">
        <w:t>As was the case last year</w:t>
      </w:r>
      <w:r w:rsidR="00F12861">
        <w:t>,</w:t>
      </w:r>
      <w:r w:rsidR="00E11031" w:rsidRPr="00275432">
        <w:t xml:space="preserve"> m</w:t>
      </w:r>
      <w:r w:rsidR="008D7630" w:rsidRPr="00275432">
        <w:t xml:space="preserve">oderators noted </w:t>
      </w:r>
      <w:r w:rsidR="006F554F">
        <w:t xml:space="preserve">that </w:t>
      </w:r>
      <w:r w:rsidR="008D7630" w:rsidRPr="00275432">
        <w:t>the best examples of reports were similar in style to p</w:t>
      </w:r>
      <w:r w:rsidRPr="00275432">
        <w:t>ast exam</w:t>
      </w:r>
      <w:r w:rsidR="00A26FA3">
        <w:t>ination</w:t>
      </w:r>
      <w:r w:rsidRPr="00275432">
        <w:t xml:space="preserve"> questions</w:t>
      </w:r>
      <w:r w:rsidR="00F12861">
        <w:t>,</w:t>
      </w:r>
      <w:r w:rsidRPr="00275432">
        <w:t xml:space="preserve"> </w:t>
      </w:r>
      <w:r w:rsidR="008D7630" w:rsidRPr="00275432">
        <w:t>but had been clearly modified and developed so that they</w:t>
      </w:r>
      <w:r w:rsidRPr="00275432">
        <w:t xml:space="preserve"> appropriately targeted the particular students</w:t>
      </w:r>
      <w:r w:rsidR="008D7630" w:rsidRPr="00275432">
        <w:t>. This type of design ensured that a full response could be made within the 60</w:t>
      </w:r>
      <w:r w:rsidR="00F12861">
        <w:t>-</w:t>
      </w:r>
      <w:r w:rsidR="008D7630" w:rsidRPr="00275432">
        <w:t>minute time</w:t>
      </w:r>
      <w:r w:rsidR="006F554F">
        <w:t>-</w:t>
      </w:r>
      <w:r w:rsidR="008D7630" w:rsidRPr="00275432">
        <w:t xml:space="preserve">limit and ensured </w:t>
      </w:r>
      <w:r w:rsidR="00F12861">
        <w:t xml:space="preserve">that </w:t>
      </w:r>
      <w:r w:rsidR="008D7630" w:rsidRPr="00275432">
        <w:t>the data on which the report was based was unseen</w:t>
      </w:r>
      <w:r w:rsidR="00F12861">
        <w:t>,</w:t>
      </w:r>
      <w:r w:rsidR="008D7630" w:rsidRPr="00275432">
        <w:t xml:space="preserve"> as required by the subject outline.</w:t>
      </w:r>
    </w:p>
    <w:p w:rsidR="00C36F08" w:rsidRPr="00275432" w:rsidRDefault="00E11031" w:rsidP="00275432">
      <w:pPr>
        <w:pStyle w:val="BodyText1"/>
      </w:pPr>
      <w:r w:rsidRPr="00275432">
        <w:t>The majority of reports seen were of a similar format</w:t>
      </w:r>
      <w:r w:rsidR="00F12861">
        <w:t>,</w:t>
      </w:r>
      <w:r w:rsidRPr="00275432">
        <w:t xml:space="preserve"> with</w:t>
      </w:r>
      <w:r w:rsidR="005173C3" w:rsidRPr="00275432">
        <w:t xml:space="preserve"> </w:t>
      </w:r>
      <w:r w:rsidRPr="00275432">
        <w:t>s</w:t>
      </w:r>
      <w:r w:rsidR="008D7630" w:rsidRPr="00275432">
        <w:t xml:space="preserve">tudents </w:t>
      </w:r>
      <w:r w:rsidRPr="00275432">
        <w:t xml:space="preserve">required to complete </w:t>
      </w:r>
      <w:r w:rsidR="00F12861">
        <w:t>four to six</w:t>
      </w:r>
      <w:r w:rsidRPr="00275432">
        <w:t xml:space="preserve"> ratio calculations and then </w:t>
      </w:r>
      <w:r w:rsidR="00FB0B0A">
        <w:t>use</w:t>
      </w:r>
      <w:r w:rsidRPr="00275432">
        <w:t xml:space="preserve"> additional data to comment on in their reports. This design works well</w:t>
      </w:r>
      <w:r w:rsidR="00F12861">
        <w:t>,</w:t>
      </w:r>
      <w:r w:rsidRPr="00275432">
        <w:t xml:space="preserve"> as it allows students to </w:t>
      </w:r>
      <w:r w:rsidR="008D7630" w:rsidRPr="00275432">
        <w:t>focus the majority of their time on creating a report that show</w:t>
      </w:r>
      <w:r w:rsidRPr="00275432">
        <w:t>s</w:t>
      </w:r>
      <w:r w:rsidR="008D7630" w:rsidRPr="00275432">
        <w:t xml:space="preserve"> understanding, </w:t>
      </w:r>
      <w:r w:rsidR="0027015F" w:rsidRPr="00275432">
        <w:t>interpretation of the calculations and data provided</w:t>
      </w:r>
      <w:r w:rsidR="00F12861">
        <w:t>,</w:t>
      </w:r>
      <w:r w:rsidR="0027015F" w:rsidRPr="00275432">
        <w:t xml:space="preserve"> and communication skills. </w:t>
      </w:r>
      <w:r w:rsidRPr="00275432">
        <w:t>It was noted that while this format is commonly used, it is important to provide the right type of data so that students can achieve against the full range of performance standards. Reports that provided simple data</w:t>
      </w:r>
      <w:r w:rsidR="00C423D7">
        <w:t>,</w:t>
      </w:r>
      <w:r w:rsidRPr="00275432">
        <w:t xml:space="preserve"> with little or no comparative figures</w:t>
      </w:r>
      <w:r w:rsidR="00C423D7">
        <w:t>,</w:t>
      </w:r>
      <w:r w:rsidRPr="00275432">
        <w:t xml:space="preserve"> limite</w:t>
      </w:r>
      <w:r w:rsidR="005173C3" w:rsidRPr="00275432">
        <w:t xml:space="preserve">d the ability of students to show achievement at the higher levels. </w:t>
      </w:r>
      <w:r w:rsidR="00F12861">
        <w:t>On the other hand,</w:t>
      </w:r>
      <w:r w:rsidR="005173C3" w:rsidRPr="00275432">
        <w:t xml:space="preserve"> reports that only required </w:t>
      </w:r>
      <w:r w:rsidR="00F12861">
        <w:t>four</w:t>
      </w:r>
      <w:r w:rsidR="005173C3" w:rsidRPr="00275432">
        <w:t xml:space="preserve"> calculations</w:t>
      </w:r>
      <w:r w:rsidR="00C423D7">
        <w:t>,</w:t>
      </w:r>
      <w:r w:rsidR="005173C3" w:rsidRPr="00275432">
        <w:t xml:space="preserve"> but then provided excessive comparative data or complex scenario</w:t>
      </w:r>
      <w:r w:rsidR="00F12861">
        <w:t>s</w:t>
      </w:r>
      <w:r w:rsidR="00C423D7">
        <w:t>,</w:t>
      </w:r>
      <w:r w:rsidR="005173C3" w:rsidRPr="00275432">
        <w:t xml:space="preserve"> often resulted in superficial answers </w:t>
      </w:r>
      <w:r w:rsidR="00C423D7">
        <w:t>when</w:t>
      </w:r>
      <w:r w:rsidR="005173C3" w:rsidRPr="00275432">
        <w:t xml:space="preserve"> </w:t>
      </w:r>
      <w:r w:rsidR="00F12861">
        <w:t xml:space="preserve">students </w:t>
      </w:r>
      <w:r w:rsidR="005173C3" w:rsidRPr="00275432">
        <w:t>attempt</w:t>
      </w:r>
      <w:r w:rsidR="00F12861">
        <w:t>ed</w:t>
      </w:r>
      <w:r w:rsidR="005173C3" w:rsidRPr="00275432">
        <w:t xml:space="preserve"> to comment on all aspects.</w:t>
      </w:r>
    </w:p>
    <w:p w:rsidR="0027015F" w:rsidRPr="00275432" w:rsidRDefault="0027015F" w:rsidP="00275432">
      <w:pPr>
        <w:pStyle w:val="BodyText1"/>
      </w:pPr>
      <w:r w:rsidRPr="00275432">
        <w:t xml:space="preserve">The </w:t>
      </w:r>
      <w:r w:rsidR="00C423D7">
        <w:t>best</w:t>
      </w:r>
      <w:r w:rsidRPr="00275432">
        <w:t xml:space="preserve"> report</w:t>
      </w:r>
      <w:r w:rsidR="00C423D7">
        <w:t xml:space="preserve"> format</w:t>
      </w:r>
      <w:r w:rsidRPr="00275432">
        <w:t xml:space="preserve">s provided the extra information and </w:t>
      </w:r>
      <w:r w:rsidR="005173C3" w:rsidRPr="00275432">
        <w:t xml:space="preserve">a significant event in the </w:t>
      </w:r>
      <w:r w:rsidRPr="00275432">
        <w:t>case facts</w:t>
      </w:r>
      <w:r w:rsidR="00C423D7">
        <w:t>,</w:t>
      </w:r>
      <w:r w:rsidRPr="00275432">
        <w:t xml:space="preserve"> but ensured </w:t>
      </w:r>
      <w:r w:rsidR="00C423D7">
        <w:t xml:space="preserve">that </w:t>
      </w:r>
      <w:r w:rsidRPr="00275432">
        <w:t>th</w:t>
      </w:r>
      <w:r w:rsidR="00C423D7">
        <w:t>is material</w:t>
      </w:r>
      <w:r w:rsidR="0001278D">
        <w:t xml:space="preserve"> </w:t>
      </w:r>
      <w:r w:rsidR="00C423D7">
        <w:t>was</w:t>
      </w:r>
      <w:r w:rsidRPr="00275432">
        <w:t xml:space="preserve"> limited to a manageable amount that </w:t>
      </w:r>
      <w:r w:rsidRPr="00275432">
        <w:lastRenderedPageBreak/>
        <w:t>could be fully discussed within the allocated time. High-performing students were able to make reference to all of the information provided</w:t>
      </w:r>
      <w:r w:rsidR="00C423D7">
        <w:t>,</w:t>
      </w:r>
      <w:r w:rsidRPr="00275432">
        <w:t xml:space="preserve"> as well as mak</w:t>
      </w:r>
      <w:r w:rsidR="00C423D7">
        <w:t>e</w:t>
      </w:r>
      <w:r w:rsidRPr="00275432">
        <w:t xml:space="preserve"> links between different ratios and back to </w:t>
      </w:r>
      <w:r w:rsidR="00C423D7">
        <w:t xml:space="preserve">the </w:t>
      </w:r>
      <w:r w:rsidRPr="00275432">
        <w:t xml:space="preserve">income statement and balance sheet data to explain </w:t>
      </w:r>
      <w:r w:rsidR="005173C3" w:rsidRPr="00275432">
        <w:t xml:space="preserve">why </w:t>
      </w:r>
      <w:r w:rsidRPr="00275432">
        <w:t>changes</w:t>
      </w:r>
      <w:r w:rsidR="005173C3" w:rsidRPr="00275432">
        <w:t xml:space="preserve"> had taken place</w:t>
      </w:r>
      <w:r w:rsidRPr="00275432">
        <w:t>.</w:t>
      </w:r>
      <w:r w:rsidR="006B4308" w:rsidRPr="00275432">
        <w:t xml:space="preserve"> Students who performed at the lower levels provided responses that were limited to identification </w:t>
      </w:r>
      <w:r w:rsidR="00E11031" w:rsidRPr="00275432">
        <w:t xml:space="preserve">of </w:t>
      </w:r>
      <w:r w:rsidR="006B4308" w:rsidRPr="00275432">
        <w:t>the direction of changes</w:t>
      </w:r>
      <w:r w:rsidR="00C423D7">
        <w:t>,</w:t>
      </w:r>
      <w:r w:rsidR="006B4308" w:rsidRPr="00275432">
        <w:t xml:space="preserve"> but without any real interpretation of the cause of any changes. These </w:t>
      </w:r>
      <w:r w:rsidR="00FB0B0A">
        <w:t>less success</w:t>
      </w:r>
      <w:r w:rsidR="0041479B">
        <w:t>ful</w:t>
      </w:r>
      <w:r w:rsidR="00FB0B0A">
        <w:t xml:space="preserve"> </w:t>
      </w:r>
      <w:r w:rsidR="006B4308" w:rsidRPr="00275432">
        <w:t>types of responses were also evident where a large number of calculations were required, limiting the time to focus on the report, or where excessive extra data was provided, necessitating a superficial discussion of all data rather than a deeper discussion of a limited number</w:t>
      </w:r>
      <w:r w:rsidR="00E11031" w:rsidRPr="00275432">
        <w:t xml:space="preserve"> of factors</w:t>
      </w:r>
      <w:r w:rsidR="006B4308" w:rsidRPr="00275432">
        <w:t>.</w:t>
      </w:r>
    </w:p>
    <w:p w:rsidR="001A0F23" w:rsidRPr="006E51DA" w:rsidRDefault="00532959">
      <w:pPr>
        <w:pStyle w:val="Heading2"/>
      </w:pPr>
      <w:r w:rsidRPr="006E51DA">
        <w:t>External Assessment</w:t>
      </w:r>
    </w:p>
    <w:p w:rsidR="001A0F23" w:rsidRPr="00300BEF" w:rsidRDefault="001A0F23" w:rsidP="001A0F23">
      <w:pPr>
        <w:pStyle w:val="AssessmentTypeHeading"/>
      </w:pPr>
      <w:r w:rsidRPr="00D108CB">
        <w:t xml:space="preserve">Assessment Type </w:t>
      </w:r>
      <w:r w:rsidR="006B4308">
        <w:t>3</w:t>
      </w:r>
      <w:r w:rsidRPr="00D108CB">
        <w:t xml:space="preserve">: </w:t>
      </w:r>
      <w:r w:rsidR="006B4308" w:rsidRPr="006B4308">
        <w:t>Examination</w:t>
      </w:r>
    </w:p>
    <w:p w:rsidR="008564CB" w:rsidRDefault="006B4308">
      <w:pPr>
        <w:pStyle w:val="Topicheading2"/>
        <w:jc w:val="left"/>
      </w:pPr>
      <w:r w:rsidRPr="00275432">
        <w:t>General Comments</w:t>
      </w:r>
    </w:p>
    <w:p w:rsidR="005252F3" w:rsidRDefault="006B4308" w:rsidP="00275432">
      <w:pPr>
        <w:pStyle w:val="BodyText1"/>
      </w:pPr>
      <w:r w:rsidRPr="00275432">
        <w:t xml:space="preserve">The </w:t>
      </w:r>
      <w:r w:rsidR="00CD20B5" w:rsidRPr="00275432">
        <w:t xml:space="preserve">2015 </w:t>
      </w:r>
      <w:r w:rsidRPr="00275432">
        <w:t>exam</w:t>
      </w:r>
      <w:r w:rsidR="00A26FA3">
        <w:t>ination</w:t>
      </w:r>
      <w:r w:rsidRPr="00275432">
        <w:t xml:space="preserve"> </w:t>
      </w:r>
      <w:r w:rsidR="00CD20B5" w:rsidRPr="00275432">
        <w:t xml:space="preserve">was structured slightly differently </w:t>
      </w:r>
      <w:r w:rsidR="00C423D7">
        <w:t xml:space="preserve">than before, </w:t>
      </w:r>
      <w:r w:rsidR="00CD20B5" w:rsidRPr="00275432">
        <w:t xml:space="preserve">with </w:t>
      </w:r>
      <w:r w:rsidR="00C423D7">
        <w:t>five</w:t>
      </w:r>
      <w:r w:rsidR="00CD20B5" w:rsidRPr="00275432">
        <w:t xml:space="preserve"> questions provided for students to answer. The level of content in the exam</w:t>
      </w:r>
      <w:r w:rsidR="00A26FA3">
        <w:t>ination</w:t>
      </w:r>
      <w:r w:rsidR="00CD20B5" w:rsidRPr="00275432">
        <w:t xml:space="preserve"> was not increased</w:t>
      </w:r>
      <w:r w:rsidR="00C423D7">
        <w:t>,</w:t>
      </w:r>
      <w:r w:rsidR="00CD20B5" w:rsidRPr="00275432">
        <w:t xml:space="preserve"> </w:t>
      </w:r>
      <w:r w:rsidR="00EE326E" w:rsidRPr="00275432">
        <w:t xml:space="preserve">but instead the material was spread more evenly over the </w:t>
      </w:r>
      <w:r w:rsidR="00C423D7">
        <w:t>five</w:t>
      </w:r>
      <w:r w:rsidR="00EE326E" w:rsidRPr="00275432">
        <w:t xml:space="preserve"> questions. </w:t>
      </w:r>
      <w:r w:rsidR="00CD20B5" w:rsidRPr="00275432">
        <w:t>Th</w:t>
      </w:r>
      <w:r w:rsidR="005252F3">
        <w:t>e</w:t>
      </w:r>
      <w:r w:rsidR="00CD20B5" w:rsidRPr="00275432">
        <w:t xml:space="preserve"> change was in response to feedback that certain questions in the previous exam</w:t>
      </w:r>
      <w:r w:rsidR="00A26FA3">
        <w:t>ination</w:t>
      </w:r>
      <w:r w:rsidR="00CD20B5" w:rsidRPr="00275432">
        <w:t xml:space="preserve">s were </w:t>
      </w:r>
      <w:r w:rsidR="005173C3" w:rsidRPr="00275432">
        <w:t xml:space="preserve">unnecessarily </w:t>
      </w:r>
      <w:r w:rsidR="00CD20B5" w:rsidRPr="00275432">
        <w:t xml:space="preserve">long and complex. </w:t>
      </w:r>
      <w:r w:rsidR="00EE326E" w:rsidRPr="00275432">
        <w:t>This redistribution of the questions appears to have assisted students</w:t>
      </w:r>
      <w:r w:rsidR="00C423D7">
        <w:t>,</w:t>
      </w:r>
      <w:r w:rsidR="00EE326E" w:rsidRPr="00275432">
        <w:t xml:space="preserve"> as the mean scores for each question had less overall variation</w:t>
      </w:r>
      <w:r w:rsidR="00C423D7">
        <w:t>,</w:t>
      </w:r>
      <w:r w:rsidR="00EE326E" w:rsidRPr="00275432">
        <w:t xml:space="preserve"> with only a 6% </w:t>
      </w:r>
      <w:r w:rsidR="00C423D7">
        <w:t>difference between</w:t>
      </w:r>
      <w:r w:rsidR="00EE326E" w:rsidRPr="00275432">
        <w:t xml:space="preserve"> the best </w:t>
      </w:r>
      <w:r w:rsidR="006F554F">
        <w:t>and</w:t>
      </w:r>
      <w:r w:rsidR="00EE326E" w:rsidRPr="00275432">
        <w:t xml:space="preserve"> worst answered question</w:t>
      </w:r>
      <w:r w:rsidR="006F554F">
        <w:t>s</w:t>
      </w:r>
      <w:r w:rsidR="00EE326E" w:rsidRPr="00275432">
        <w:t xml:space="preserve"> compared to a 12% range in the previous year.</w:t>
      </w:r>
    </w:p>
    <w:p w:rsidR="005252F3" w:rsidRDefault="00C423D7" w:rsidP="00275432">
      <w:pPr>
        <w:pStyle w:val="BodyText1"/>
      </w:pPr>
      <w:r>
        <w:t>The o</w:t>
      </w:r>
      <w:r w:rsidR="00EE326E" w:rsidRPr="00275432">
        <w:t>verall performance of students was comparable to previous years</w:t>
      </w:r>
      <w:r>
        <w:t>,</w:t>
      </w:r>
      <w:r w:rsidR="00EE326E" w:rsidRPr="00275432">
        <w:t xml:space="preserve"> </w:t>
      </w:r>
      <w:proofErr w:type="gramStart"/>
      <w:r w:rsidR="00095FD4" w:rsidRPr="00275432">
        <w:t>In</w:t>
      </w:r>
      <w:proofErr w:type="gramEnd"/>
      <w:r w:rsidR="00095FD4" w:rsidRPr="00275432">
        <w:t xml:space="preserve"> 2015</w:t>
      </w:r>
      <w:r>
        <w:t>,</w:t>
      </w:r>
      <w:r w:rsidR="00095FD4" w:rsidRPr="00275432">
        <w:t xml:space="preserve"> the first</w:t>
      </w:r>
      <w:r w:rsidR="006E4846" w:rsidRPr="00275432">
        <w:t xml:space="preserve"> question in the exam</w:t>
      </w:r>
      <w:r w:rsidR="00A26FA3">
        <w:t>ination</w:t>
      </w:r>
      <w:r w:rsidR="006E4846" w:rsidRPr="00275432">
        <w:t xml:space="preserve"> was </w:t>
      </w:r>
      <w:r w:rsidR="00D2149A">
        <w:t xml:space="preserve">the </w:t>
      </w:r>
      <w:r w:rsidR="006E4846" w:rsidRPr="00275432">
        <w:t>most successfully answered</w:t>
      </w:r>
      <w:r w:rsidR="006256CF">
        <w:t>,</w:t>
      </w:r>
      <w:r w:rsidR="006E4846" w:rsidRPr="00275432">
        <w:t xml:space="preserve"> while </w:t>
      </w:r>
      <w:r w:rsidR="00D2149A">
        <w:t>Q</w:t>
      </w:r>
      <w:r w:rsidR="006E4846" w:rsidRPr="00275432">
        <w:t xml:space="preserve">uestion </w:t>
      </w:r>
      <w:r w:rsidR="00095FD4" w:rsidRPr="00275432">
        <w:t>5</w:t>
      </w:r>
      <w:r w:rsidR="006E4846" w:rsidRPr="00275432">
        <w:t xml:space="preserve"> recorded the lowest overall performance</w:t>
      </w:r>
      <w:r w:rsidR="006256CF">
        <w:t xml:space="preserve"> -</w:t>
      </w:r>
      <w:r w:rsidR="00095FD4" w:rsidRPr="00275432">
        <w:t xml:space="preserve"> but there was very </w:t>
      </w:r>
      <w:r w:rsidR="0057732B" w:rsidRPr="00275432">
        <w:t xml:space="preserve">little </w:t>
      </w:r>
      <w:r w:rsidR="00095FD4" w:rsidRPr="00275432">
        <w:t xml:space="preserve">variation among the </w:t>
      </w:r>
      <w:r w:rsidR="00950018">
        <w:t>five questions</w:t>
      </w:r>
      <w:r w:rsidR="006B4308" w:rsidRPr="00275432">
        <w:t>.</w:t>
      </w:r>
    </w:p>
    <w:p w:rsidR="006B4308" w:rsidRPr="00275432" w:rsidRDefault="006B4308" w:rsidP="00275432">
      <w:pPr>
        <w:pStyle w:val="BodyText1"/>
      </w:pPr>
      <w:r w:rsidRPr="00275432">
        <w:t>As with past years</w:t>
      </w:r>
      <w:r w:rsidR="00C423D7">
        <w:t>,</w:t>
      </w:r>
      <w:r w:rsidRPr="00275432">
        <w:t xml:space="preserve"> the practical sections of questions were answered well, with the most successful students being able to achieve at the highest level by combining their practical application with a sound understanding and communication of the theory components of the questions. </w:t>
      </w:r>
      <w:r w:rsidR="003110F2" w:rsidRPr="00275432">
        <w:t>What was pleasing to note was that very few exam</w:t>
      </w:r>
      <w:r w:rsidR="00A26FA3">
        <w:t>ination</w:t>
      </w:r>
      <w:r w:rsidR="00C423D7">
        <w:t xml:space="preserve"> paper</w:t>
      </w:r>
      <w:r w:rsidR="003110F2" w:rsidRPr="00275432">
        <w:t>s had completely blank questions</w:t>
      </w:r>
      <w:r w:rsidR="00C423D7">
        <w:t>,</w:t>
      </w:r>
      <w:r w:rsidR="003110F2" w:rsidRPr="00275432">
        <w:t xml:space="preserve"> indicating that the majority of students had the opportunity and were able to respond in some way to all parts of the course. There also appeared to be a more balanced approach taken by students</w:t>
      </w:r>
      <w:r w:rsidR="00FC1ED0">
        <w:t>. R</w:t>
      </w:r>
      <w:r w:rsidR="003110F2" w:rsidRPr="00275432">
        <w:t xml:space="preserve">ather </w:t>
      </w:r>
      <w:r w:rsidR="00950018">
        <w:t xml:space="preserve">than </w:t>
      </w:r>
      <w:r w:rsidR="007E53D6" w:rsidRPr="00275432">
        <w:t>focus</w:t>
      </w:r>
      <w:r w:rsidR="003110F2" w:rsidRPr="00275432">
        <w:t>ing</w:t>
      </w:r>
      <w:r w:rsidR="007E53D6" w:rsidRPr="00275432">
        <w:t xml:space="preserve"> heavily on the practical aspects of the course</w:t>
      </w:r>
      <w:r w:rsidR="003110F2" w:rsidRPr="00275432">
        <w:t>, there were a number of good attempts at</w:t>
      </w:r>
      <w:r w:rsidR="007E53D6" w:rsidRPr="00275432">
        <w:t xml:space="preserve"> the extended</w:t>
      </w:r>
      <w:r w:rsidR="00C423D7">
        <w:t>-</w:t>
      </w:r>
      <w:r w:rsidR="007E53D6" w:rsidRPr="00275432">
        <w:t>response sections.</w:t>
      </w:r>
    </w:p>
    <w:p w:rsidR="006B4308" w:rsidRPr="00275432" w:rsidRDefault="006B4308" w:rsidP="00275432">
      <w:pPr>
        <w:pStyle w:val="BodyText1"/>
      </w:pPr>
      <w:r w:rsidRPr="00275432">
        <w:t>Students are reminded to:</w:t>
      </w:r>
    </w:p>
    <w:p w:rsidR="006B4308" w:rsidRPr="00275432" w:rsidRDefault="006B4308" w:rsidP="00275432">
      <w:pPr>
        <w:pStyle w:val="dotpoints"/>
        <w:numPr>
          <w:ilvl w:val="0"/>
          <w:numId w:val="15"/>
        </w:numPr>
        <w:tabs>
          <w:tab w:val="num" w:pos="360"/>
        </w:tabs>
        <w:ind w:left="360"/>
      </w:pPr>
      <w:r w:rsidRPr="00275432">
        <w:t>include calculations in answers, as this helps markers to award marks even if the final answer is incorrect</w:t>
      </w:r>
    </w:p>
    <w:p w:rsidR="006B4308" w:rsidRPr="00275432" w:rsidRDefault="006B4308" w:rsidP="00275432">
      <w:pPr>
        <w:pStyle w:val="dotpoints"/>
        <w:numPr>
          <w:ilvl w:val="0"/>
          <w:numId w:val="15"/>
        </w:numPr>
        <w:tabs>
          <w:tab w:val="num" w:pos="360"/>
        </w:tabs>
        <w:ind w:left="360"/>
      </w:pPr>
      <w:r w:rsidRPr="00275432">
        <w:t>avoid using abbreviations in answers</w:t>
      </w:r>
      <w:r w:rsidR="007C6C6C">
        <w:t>,</w:t>
      </w:r>
      <w:r w:rsidR="007E53D6" w:rsidRPr="00275432">
        <w:t xml:space="preserve"> except </w:t>
      </w:r>
      <w:r w:rsidR="007C6C6C">
        <w:t xml:space="preserve">for </w:t>
      </w:r>
      <w:r w:rsidR="00D1677D" w:rsidRPr="00275432">
        <w:t>commonly accepted accounting abbreviations in final reports</w:t>
      </w:r>
    </w:p>
    <w:p w:rsidR="00A41CFF" w:rsidRPr="00275432" w:rsidRDefault="00A41CFF" w:rsidP="00275432">
      <w:pPr>
        <w:pStyle w:val="dotpoints"/>
        <w:numPr>
          <w:ilvl w:val="0"/>
          <w:numId w:val="15"/>
        </w:numPr>
        <w:tabs>
          <w:tab w:val="num" w:pos="360"/>
        </w:tabs>
        <w:ind w:left="360"/>
      </w:pPr>
      <w:proofErr w:type="gramStart"/>
      <w:r w:rsidRPr="00275432">
        <w:t>clearly</w:t>
      </w:r>
      <w:proofErr w:type="gramEnd"/>
      <w:r w:rsidRPr="00275432">
        <w:t xml:space="preserve"> answer the question being asked</w:t>
      </w:r>
      <w:r w:rsidR="00D2149A">
        <w:t xml:space="preserve"> —</w:t>
      </w:r>
      <w:r w:rsidRPr="00275432">
        <w:t xml:space="preserve"> </w:t>
      </w:r>
      <w:r w:rsidR="00D2149A">
        <w:t>t</w:t>
      </w:r>
      <w:r w:rsidRPr="00275432">
        <w:t xml:space="preserve">here is no need to rewrite the question if </w:t>
      </w:r>
      <w:r w:rsidR="007C6C6C">
        <w:t>it</w:t>
      </w:r>
      <w:r w:rsidRPr="00275432">
        <w:t xml:space="preserve"> ask</w:t>
      </w:r>
      <w:r w:rsidR="007C6C6C">
        <w:t>s</w:t>
      </w:r>
      <w:r w:rsidRPr="00275432">
        <w:t xml:space="preserve"> to list or state an answer</w:t>
      </w:r>
      <w:r w:rsidR="00D2149A">
        <w:t>;</w:t>
      </w:r>
      <w:r w:rsidRPr="00275432">
        <w:t xml:space="preserve"> </w:t>
      </w:r>
      <w:r w:rsidR="00D2149A">
        <w:t>s</w:t>
      </w:r>
      <w:r w:rsidRPr="00275432">
        <w:t>imilarly</w:t>
      </w:r>
      <w:r w:rsidR="00D2149A">
        <w:t>,</w:t>
      </w:r>
      <w:r w:rsidRPr="00275432">
        <w:t xml:space="preserve"> definitions are not required if a question asks for an example for the case of a particular item.</w:t>
      </w:r>
    </w:p>
    <w:p w:rsidR="006E4846" w:rsidRPr="00275432" w:rsidRDefault="006B4308" w:rsidP="00275432">
      <w:pPr>
        <w:pStyle w:val="BodyText1"/>
      </w:pPr>
      <w:r w:rsidRPr="00275432">
        <w:t>Th</w:t>
      </w:r>
      <w:r w:rsidR="00D2149A">
        <w:t>e following</w:t>
      </w:r>
      <w:r w:rsidRPr="00275432">
        <w:t xml:space="preserve"> section </w:t>
      </w:r>
      <w:r w:rsidR="005252F3">
        <w:t xml:space="preserve">deals with each question in turn and </w:t>
      </w:r>
      <w:r w:rsidRPr="00275432">
        <w:t>should be read in conjunction with the exam</w:t>
      </w:r>
      <w:r w:rsidR="00A26FA3">
        <w:t>ination</w:t>
      </w:r>
      <w:r w:rsidRPr="00275432">
        <w:t xml:space="preserve"> paper.</w:t>
      </w:r>
    </w:p>
    <w:p w:rsidR="00407FD4" w:rsidRDefault="006E4846" w:rsidP="00407FD4">
      <w:pPr>
        <w:pStyle w:val="Italicsheading"/>
        <w:keepNext/>
      </w:pPr>
      <w:r w:rsidRPr="00275432">
        <w:lastRenderedPageBreak/>
        <w:t>Question 1</w:t>
      </w:r>
    </w:p>
    <w:p w:rsidR="003232CC" w:rsidRPr="00275432" w:rsidRDefault="008A4662" w:rsidP="00275432">
      <w:pPr>
        <w:pStyle w:val="BodyText1"/>
      </w:pPr>
      <w:r w:rsidRPr="00275432">
        <w:t xml:space="preserve">The formatting for this question is fairly familiar and this was </w:t>
      </w:r>
      <w:r w:rsidR="005173C3" w:rsidRPr="00275432">
        <w:t>evident</w:t>
      </w:r>
      <w:r w:rsidRPr="00275432">
        <w:t xml:space="preserve"> with the number of strong </w:t>
      </w:r>
      <w:r w:rsidR="005173C3" w:rsidRPr="00275432">
        <w:t>responses</w:t>
      </w:r>
      <w:r w:rsidRPr="00275432">
        <w:t xml:space="preserve"> provided. The best</w:t>
      </w:r>
      <w:r w:rsidR="00D2149A">
        <w:t>-</w:t>
      </w:r>
      <w:r w:rsidRPr="00275432">
        <w:t>performing students showed good attention to detail, including correctly apportioning the depreciation on the motor vehicle and the use of correct terminology</w:t>
      </w:r>
      <w:r w:rsidR="00D2149A">
        <w:t>,</w:t>
      </w:r>
      <w:r w:rsidRPr="00275432">
        <w:t xml:space="preserve"> such </w:t>
      </w:r>
      <w:r w:rsidR="00D2149A">
        <w:t>as</w:t>
      </w:r>
      <w:r w:rsidRPr="00275432">
        <w:t xml:space="preserve"> </w:t>
      </w:r>
      <w:r w:rsidR="00D2149A">
        <w:t>‘</w:t>
      </w:r>
      <w:r w:rsidR="00FB0B0A">
        <w:t xml:space="preserve">sales </w:t>
      </w:r>
      <w:r w:rsidR="00D2149A">
        <w:t>r</w:t>
      </w:r>
      <w:r w:rsidRPr="00275432">
        <w:t xml:space="preserve">evenue </w:t>
      </w:r>
      <w:r w:rsidR="00D2149A">
        <w:t>r</w:t>
      </w:r>
      <w:r w:rsidRPr="00275432">
        <w:t xml:space="preserve">eceived in </w:t>
      </w:r>
      <w:r w:rsidR="00D2149A">
        <w:t>a</w:t>
      </w:r>
      <w:r w:rsidRPr="00275432">
        <w:t>dvance</w:t>
      </w:r>
      <w:r w:rsidR="00D2149A">
        <w:t>’</w:t>
      </w:r>
      <w:r w:rsidRPr="00275432">
        <w:t xml:space="preserve"> rather than </w:t>
      </w:r>
      <w:r w:rsidR="00D2149A">
        <w:t>‘p</w:t>
      </w:r>
      <w:r w:rsidRPr="00275432">
        <w:t xml:space="preserve">repaid </w:t>
      </w:r>
      <w:r w:rsidR="00D2149A">
        <w:t>s</w:t>
      </w:r>
      <w:r w:rsidRPr="00275432">
        <w:t xml:space="preserve">ales </w:t>
      </w:r>
      <w:r w:rsidR="00D2149A">
        <w:t>r</w:t>
      </w:r>
      <w:r w:rsidRPr="00275432">
        <w:t>evenue</w:t>
      </w:r>
      <w:r w:rsidR="00D2149A">
        <w:t>’</w:t>
      </w:r>
      <w:r w:rsidRPr="00275432">
        <w:t>. A small number of students struggled with the correct classification of items in the reports</w:t>
      </w:r>
      <w:r w:rsidR="00D2149A">
        <w:t>,</w:t>
      </w:r>
      <w:r w:rsidRPr="00275432">
        <w:t xml:space="preserve"> but </w:t>
      </w:r>
      <w:r w:rsidR="00D2149A">
        <w:t>classification</w:t>
      </w:r>
      <w:r w:rsidRPr="00275432">
        <w:t xml:space="preserve"> was generally well done and </w:t>
      </w:r>
      <w:r w:rsidR="00D2149A">
        <w:t>was</w:t>
      </w:r>
      <w:r w:rsidR="007C6C6C">
        <w:t xml:space="preserve"> </w:t>
      </w:r>
      <w:r w:rsidRPr="00275432">
        <w:t>an improvement on previous years.</w:t>
      </w:r>
    </w:p>
    <w:p w:rsidR="008A4662" w:rsidRPr="00275432" w:rsidRDefault="008A4662" w:rsidP="00275432">
      <w:pPr>
        <w:pStyle w:val="BodyText1"/>
      </w:pPr>
      <w:r w:rsidRPr="00275432">
        <w:t>The written</w:t>
      </w:r>
      <w:r w:rsidR="008C79A4">
        <w:t>-</w:t>
      </w:r>
      <w:r w:rsidRPr="00275432">
        <w:t>response answers were reasonably well done</w:t>
      </w:r>
      <w:r w:rsidR="0006121E">
        <w:t>,</w:t>
      </w:r>
      <w:r w:rsidRPr="00275432">
        <w:t xml:space="preserve"> with the best answers showing </w:t>
      </w:r>
      <w:proofErr w:type="gramStart"/>
      <w:r w:rsidRPr="00275432">
        <w:t>an ability</w:t>
      </w:r>
      <w:proofErr w:type="gramEnd"/>
      <w:r w:rsidRPr="00275432">
        <w:t xml:space="preserve"> to not only recall generic concepts, such as comparison to a rule of thumb</w:t>
      </w:r>
      <w:r w:rsidR="00D2149A">
        <w:t>,</w:t>
      </w:r>
      <w:r w:rsidRPr="00275432">
        <w:t xml:space="preserve"> but also to apply the case facts and make an informed comment on the</w:t>
      </w:r>
      <w:r w:rsidR="008C79A4">
        <w:t>m</w:t>
      </w:r>
      <w:r w:rsidRPr="00275432">
        <w:t>.</w:t>
      </w:r>
    </w:p>
    <w:p w:rsidR="003232CC" w:rsidRPr="00275432" w:rsidRDefault="003232CC" w:rsidP="00AE46B4">
      <w:pPr>
        <w:pStyle w:val="Italicsheading"/>
      </w:pPr>
      <w:r w:rsidRPr="00275432">
        <w:t>Question 2</w:t>
      </w:r>
    </w:p>
    <w:p w:rsidR="008C6892" w:rsidRPr="00275432" w:rsidRDefault="003232CC" w:rsidP="00275432">
      <w:pPr>
        <w:pStyle w:val="BodyText1"/>
      </w:pPr>
      <w:r w:rsidRPr="00275432">
        <w:t xml:space="preserve">This question </w:t>
      </w:r>
      <w:r w:rsidR="008A4662" w:rsidRPr="00275432">
        <w:t>was generally well answered</w:t>
      </w:r>
      <w:r w:rsidR="008C79A4">
        <w:t>, which</w:t>
      </w:r>
      <w:r w:rsidR="008A4662" w:rsidRPr="00275432">
        <w:t xml:space="preserve"> is a clear improvement from the previous year where the </w:t>
      </w:r>
      <w:r w:rsidR="005173C3" w:rsidRPr="00275432">
        <w:t>similarly</w:t>
      </w:r>
      <w:r w:rsidR="008A4662" w:rsidRPr="00275432">
        <w:t xml:space="preserve"> styled question re</w:t>
      </w:r>
      <w:r w:rsidR="00275432">
        <w:t>turned the lowest average mark.</w:t>
      </w:r>
    </w:p>
    <w:p w:rsidR="008A4662" w:rsidRPr="00275432" w:rsidRDefault="008A4662" w:rsidP="00A912F2">
      <w:pPr>
        <w:pStyle w:val="BodyText1"/>
      </w:pPr>
      <w:r w:rsidRPr="00275432">
        <w:t>The practical aspects of the question were well answered</w:t>
      </w:r>
      <w:r w:rsidR="00D2149A">
        <w:t>,</w:t>
      </w:r>
      <w:r w:rsidRPr="00275432">
        <w:t xml:space="preserve"> with good attention to detail and </w:t>
      </w:r>
      <w:r w:rsidR="00D2149A">
        <w:t xml:space="preserve">with </w:t>
      </w:r>
      <w:r w:rsidRPr="00275432">
        <w:t xml:space="preserve">most variation </w:t>
      </w:r>
      <w:r w:rsidR="00D2149A">
        <w:t>coming</w:t>
      </w:r>
      <w:r w:rsidRPr="00275432">
        <w:t xml:space="preserve"> from the extended</w:t>
      </w:r>
      <w:r w:rsidR="00D2149A">
        <w:t>-</w:t>
      </w:r>
      <w:r w:rsidRPr="00275432">
        <w:t xml:space="preserve">response questions. The majority of students were able to provide an answer to </w:t>
      </w:r>
      <w:r w:rsidR="00047997" w:rsidRPr="00275432">
        <w:t>the latter</w:t>
      </w:r>
      <w:r w:rsidR="004E5A88">
        <w:t>,</w:t>
      </w:r>
      <w:r w:rsidR="00047997" w:rsidRPr="00275432">
        <w:t xml:space="preserve"> with the strongest responses showing a clear understanding of the concepts beyond memorisation of a generic statement. It was good to see most students correctly identifying the concept of prudence as relating to care and caution</w:t>
      </w:r>
      <w:r w:rsidR="004E5A88">
        <w:t>,</w:t>
      </w:r>
      <w:r w:rsidR="00047997" w:rsidRPr="00275432">
        <w:t xml:space="preserve"> rather than making general comment</w:t>
      </w:r>
      <w:r w:rsidR="004E5A88">
        <w:t>s</w:t>
      </w:r>
      <w:r w:rsidR="00047997" w:rsidRPr="00275432">
        <w:t xml:space="preserve"> about overstatement and understatement. This </w:t>
      </w:r>
      <w:r w:rsidR="008C79A4">
        <w:t xml:space="preserve">attention to the question </w:t>
      </w:r>
      <w:r w:rsidR="00047997" w:rsidRPr="00275432">
        <w:t xml:space="preserve">was also </w:t>
      </w:r>
      <w:r w:rsidR="00047997" w:rsidRPr="009D7282">
        <w:t>evident in parts</w:t>
      </w:r>
      <w:r w:rsidR="00417766" w:rsidRPr="009D7282">
        <w:t xml:space="preserve"> (g)(iv) and (g)(v)</w:t>
      </w:r>
      <w:r w:rsidR="00047997" w:rsidRPr="009D7282">
        <w:t xml:space="preserve"> where </w:t>
      </w:r>
      <w:r w:rsidR="00A912F2" w:rsidRPr="009D7282">
        <w:t>more successful</w:t>
      </w:r>
      <w:r w:rsidR="00047997" w:rsidRPr="009D7282">
        <w:t xml:space="preserve"> students correctly</w:t>
      </w:r>
      <w:r w:rsidR="00047997" w:rsidRPr="00275432">
        <w:t xml:space="preserve"> commented on the size of the total dividend</w:t>
      </w:r>
      <w:r w:rsidR="004E5A88">
        <w:t>,</w:t>
      </w:r>
      <w:r w:rsidR="00047997" w:rsidRPr="00275432">
        <w:t xml:space="preserve"> as the question asked</w:t>
      </w:r>
      <w:r w:rsidR="004E5A88">
        <w:t>,</w:t>
      </w:r>
      <w:r w:rsidR="00047997" w:rsidRPr="00275432">
        <w:t xml:space="preserve"> and focused on discussing the </w:t>
      </w:r>
      <w:r w:rsidR="004E5A88">
        <w:t>significance</w:t>
      </w:r>
      <w:r w:rsidR="004E5A88" w:rsidRPr="00275432">
        <w:t xml:space="preserve"> </w:t>
      </w:r>
      <w:r w:rsidR="00047997" w:rsidRPr="00275432">
        <w:t xml:space="preserve">of the abbreviation </w:t>
      </w:r>
      <w:r w:rsidR="004E5A88">
        <w:t>‘Ltd’</w:t>
      </w:r>
      <w:r w:rsidR="00BC5D8E">
        <w:t>,</w:t>
      </w:r>
      <w:r w:rsidR="004E5A88">
        <w:t xml:space="preserve"> </w:t>
      </w:r>
      <w:r w:rsidR="00047997" w:rsidRPr="00275432">
        <w:t>instead of simply what it described.</w:t>
      </w:r>
    </w:p>
    <w:p w:rsidR="008C6892" w:rsidRPr="00275432" w:rsidRDefault="008C6892" w:rsidP="00AE46B4">
      <w:pPr>
        <w:pStyle w:val="Italicsheading"/>
      </w:pPr>
      <w:r w:rsidRPr="00275432">
        <w:t>Question 3</w:t>
      </w:r>
    </w:p>
    <w:p w:rsidR="007E53D6" w:rsidRPr="00275432" w:rsidRDefault="008C6892" w:rsidP="00275432">
      <w:pPr>
        <w:pStyle w:val="BodyText1"/>
      </w:pPr>
      <w:r w:rsidRPr="00275432">
        <w:t>Th</w:t>
      </w:r>
      <w:r w:rsidR="00047997" w:rsidRPr="00275432">
        <w:t>e responses given to this question were of a high standard</w:t>
      </w:r>
      <w:r w:rsidR="003A065E">
        <w:t>.</w:t>
      </w:r>
      <w:r w:rsidR="00047997" w:rsidRPr="00275432">
        <w:t xml:space="preserve"> Once again the majority of students showed a strong understanding of the practical sections</w:t>
      </w:r>
      <w:r w:rsidR="004E5A88">
        <w:t>,</w:t>
      </w:r>
      <w:r w:rsidR="00047997" w:rsidRPr="00275432">
        <w:t xml:space="preserve"> with high</w:t>
      </w:r>
      <w:r w:rsidR="004E5A88">
        <w:t>-</w:t>
      </w:r>
      <w:r w:rsidR="00047997" w:rsidRPr="00275432">
        <w:t xml:space="preserve">achieving students able to identify certain key components to include </w:t>
      </w:r>
      <w:r w:rsidR="00417766">
        <w:t xml:space="preserve">(such as </w:t>
      </w:r>
      <w:r w:rsidR="00417766" w:rsidRPr="00275432">
        <w:t>the new interest on the loan</w:t>
      </w:r>
      <w:r w:rsidR="00417766">
        <w:t>)</w:t>
      </w:r>
      <w:r w:rsidR="00417766" w:rsidRPr="00275432">
        <w:t xml:space="preserve"> </w:t>
      </w:r>
      <w:r w:rsidR="00047997" w:rsidRPr="00275432">
        <w:t>or exclude</w:t>
      </w:r>
      <w:r w:rsidR="00417766">
        <w:t xml:space="preserve"> (such as</w:t>
      </w:r>
      <w:r w:rsidR="00047997" w:rsidRPr="00275432">
        <w:t xml:space="preserve"> the depreciation and loan payments</w:t>
      </w:r>
      <w:r w:rsidR="00417766">
        <w:t>).</w:t>
      </w:r>
    </w:p>
    <w:p w:rsidR="00047997" w:rsidRPr="00275432" w:rsidRDefault="00047997" w:rsidP="00A912F2">
      <w:pPr>
        <w:pStyle w:val="BodyText1"/>
      </w:pPr>
      <w:r w:rsidRPr="00275432">
        <w:t xml:space="preserve">It was pleasing to see the </w:t>
      </w:r>
      <w:r w:rsidR="002E0045" w:rsidRPr="00275432">
        <w:t>strong practical responses backed up by informed and well</w:t>
      </w:r>
      <w:r w:rsidR="004E5A88">
        <w:t>-</w:t>
      </w:r>
      <w:r w:rsidR="002E0045" w:rsidRPr="00275432">
        <w:t>answered written responses that made good use of the case facts. The best comments on the reasons for changes or suggestion</w:t>
      </w:r>
      <w:r w:rsidR="00417766">
        <w:t>s</w:t>
      </w:r>
      <w:r w:rsidR="002E0045" w:rsidRPr="00275432">
        <w:t xml:space="preserve"> for future improvements included a brief statement that clearly showed how </w:t>
      </w:r>
      <w:r w:rsidR="003A065E">
        <w:t>the comment</w:t>
      </w:r>
      <w:r w:rsidR="002E0045" w:rsidRPr="00275432">
        <w:t xml:space="preserve"> linked back to that specific question. The greatest variation in answers appeared in the </w:t>
      </w:r>
      <w:r w:rsidR="0041479B">
        <w:t>part (e)</w:t>
      </w:r>
      <w:r w:rsidR="002E0045" w:rsidRPr="00275432">
        <w:t xml:space="preserve"> where </w:t>
      </w:r>
      <w:r w:rsidR="002E0045" w:rsidRPr="009D7282">
        <w:t xml:space="preserve">the </w:t>
      </w:r>
      <w:r w:rsidR="00A912F2" w:rsidRPr="009D7282">
        <w:t>more successful</w:t>
      </w:r>
      <w:r w:rsidR="002E0045" w:rsidRPr="009D7282">
        <w:t xml:space="preserve"> students correctly identified that the case provided budgeted</w:t>
      </w:r>
      <w:r w:rsidR="002E0045" w:rsidRPr="00275432">
        <w:t xml:space="preserve"> information and any suggestions needed to be linked to </w:t>
      </w:r>
      <w:proofErr w:type="gramStart"/>
      <w:r w:rsidR="002E0045" w:rsidRPr="00275432">
        <w:t>expected</w:t>
      </w:r>
      <w:proofErr w:type="gramEnd"/>
      <w:r w:rsidR="002E0045" w:rsidRPr="00275432">
        <w:t xml:space="preserve"> future performance. The best answers then used the expected decline in performance to justify their recommendation going forward.</w:t>
      </w:r>
    </w:p>
    <w:p w:rsidR="002E0045" w:rsidRPr="00275432" w:rsidRDefault="0058122A" w:rsidP="00AE46B4">
      <w:pPr>
        <w:pStyle w:val="Italicsheading"/>
      </w:pPr>
      <w:r w:rsidRPr="00275432">
        <w:t>Question 4</w:t>
      </w:r>
    </w:p>
    <w:p w:rsidR="0058122A" w:rsidRPr="00275432" w:rsidRDefault="0058122A" w:rsidP="00275432">
      <w:pPr>
        <w:pStyle w:val="BodyText1"/>
      </w:pPr>
      <w:r w:rsidRPr="00275432">
        <w:t xml:space="preserve">While this question was generally well answered, it did </w:t>
      </w:r>
      <w:r w:rsidR="004E5A88">
        <w:t>have</w:t>
      </w:r>
      <w:r w:rsidRPr="00275432">
        <w:t xml:space="preserve"> the greatest variance in practical performance. Students either showed a strong understanding of the concepts required and achieved near full marks</w:t>
      </w:r>
      <w:r w:rsidR="004E5A88">
        <w:t>,</w:t>
      </w:r>
      <w:r w:rsidRPr="00275432">
        <w:t xml:space="preserve"> or struggled</w:t>
      </w:r>
      <w:r w:rsidR="00A41CFF" w:rsidRPr="00275432">
        <w:t xml:space="preserve"> to differentiate the cash </w:t>
      </w:r>
      <w:r w:rsidR="00A41CFF" w:rsidRPr="00275432">
        <w:lastRenderedPageBreak/>
        <w:t>flow from other accounting reports</w:t>
      </w:r>
      <w:r w:rsidR="004E5A88">
        <w:t>, thus</w:t>
      </w:r>
      <w:r w:rsidR="00A41CFF" w:rsidRPr="00275432">
        <w:t xml:space="preserve"> making it difficult for the markers to award many marks.</w:t>
      </w:r>
    </w:p>
    <w:p w:rsidR="00A41CFF" w:rsidRPr="00275432" w:rsidRDefault="00A41CFF" w:rsidP="00A912F2">
      <w:pPr>
        <w:pStyle w:val="BodyText1"/>
      </w:pPr>
      <w:r w:rsidRPr="00275432">
        <w:t>The written responses were well attempted</w:t>
      </w:r>
      <w:r w:rsidR="004E5A88">
        <w:t>,</w:t>
      </w:r>
      <w:r w:rsidRPr="00275432">
        <w:t xml:space="preserve"> with the majority of students able to remember definitions and key concepts. A smaller number of students were able to go beyond these basic definitions</w:t>
      </w:r>
      <w:r w:rsidR="003A065E">
        <w:t>,</w:t>
      </w:r>
      <w:r w:rsidRPr="00275432">
        <w:t xml:space="preserve"> with the best answers referring to the case facts to support discussion. This was particularly true in </w:t>
      </w:r>
      <w:r w:rsidR="0041479B">
        <w:t>part (f)</w:t>
      </w:r>
      <w:r w:rsidRPr="00275432">
        <w:t xml:space="preserve"> where the high</w:t>
      </w:r>
      <w:r w:rsidR="009F5F7B">
        <w:t>-</w:t>
      </w:r>
      <w:r w:rsidRPr="00275432">
        <w:t>performing students were able to provide specific evidence as required by the question and did not use up valuable time writing out definitions.</w:t>
      </w:r>
    </w:p>
    <w:p w:rsidR="007E53D6" w:rsidRPr="00275432" w:rsidRDefault="007E53D6" w:rsidP="00AE46B4">
      <w:pPr>
        <w:pStyle w:val="Italicsheading"/>
      </w:pPr>
      <w:r w:rsidRPr="00275432">
        <w:t xml:space="preserve">Question </w:t>
      </w:r>
      <w:r w:rsidR="002E0045" w:rsidRPr="00275432">
        <w:t>5</w:t>
      </w:r>
    </w:p>
    <w:p w:rsidR="001B0E23" w:rsidRPr="00275432" w:rsidRDefault="007E53D6" w:rsidP="00275432">
      <w:pPr>
        <w:pStyle w:val="BodyText1"/>
      </w:pPr>
      <w:r w:rsidRPr="00275432">
        <w:t xml:space="preserve">The final question of the examination </w:t>
      </w:r>
      <w:r w:rsidR="009F5F7B">
        <w:t>had</w:t>
      </w:r>
      <w:r w:rsidRPr="00275432">
        <w:t xml:space="preserve"> the </w:t>
      </w:r>
      <w:r w:rsidR="00A41CFF" w:rsidRPr="00275432">
        <w:t>lowest</w:t>
      </w:r>
      <w:r w:rsidRPr="00275432">
        <w:t xml:space="preserve"> average mark</w:t>
      </w:r>
      <w:r w:rsidR="00A41CFF" w:rsidRPr="00275432">
        <w:t>, although this was still at a solid level and</w:t>
      </w:r>
      <w:r w:rsidR="00950018">
        <w:t xml:space="preserve"> an</w:t>
      </w:r>
      <w:r w:rsidR="00A41CFF" w:rsidRPr="00275432">
        <w:t xml:space="preserve"> improvement on the lowest average from previous years</w:t>
      </w:r>
      <w:r w:rsidRPr="00275432">
        <w:t>.</w:t>
      </w:r>
    </w:p>
    <w:p w:rsidR="007E53D6" w:rsidRPr="00275432" w:rsidRDefault="007E53D6" w:rsidP="00275432">
      <w:pPr>
        <w:pStyle w:val="BodyText1"/>
      </w:pPr>
      <w:r w:rsidRPr="00275432">
        <w:t>The practical section of the question was done well</w:t>
      </w:r>
      <w:r w:rsidR="009F5F7B">
        <w:t>,</w:t>
      </w:r>
      <w:r w:rsidRPr="00275432">
        <w:t xml:space="preserve"> with the majority of students able to provide a good to excellent response to </w:t>
      </w:r>
      <w:r w:rsidR="00D729EF">
        <w:t xml:space="preserve">parts </w:t>
      </w:r>
      <w:r w:rsidR="0041479B">
        <w:t>(</w:t>
      </w:r>
      <w:r w:rsidR="00D729EF">
        <w:t>a</w:t>
      </w:r>
      <w:r w:rsidR="0041479B">
        <w:t>)</w:t>
      </w:r>
      <w:r w:rsidR="00D729EF">
        <w:t>,</w:t>
      </w:r>
      <w:r w:rsidR="0041479B">
        <w:t xml:space="preserve"> (</w:t>
      </w:r>
      <w:r w:rsidR="00D729EF">
        <w:t>b</w:t>
      </w:r>
      <w:r w:rsidR="0041479B">
        <w:t>)</w:t>
      </w:r>
      <w:r w:rsidR="00C347A5">
        <w:t>,</w:t>
      </w:r>
      <w:r w:rsidR="0041479B">
        <w:t xml:space="preserve"> and</w:t>
      </w:r>
      <w:r w:rsidR="00D729EF">
        <w:t xml:space="preserve"> </w:t>
      </w:r>
      <w:r w:rsidR="0041479B">
        <w:t>(</w:t>
      </w:r>
      <w:r w:rsidR="00D729EF">
        <w:t>c</w:t>
      </w:r>
      <w:r w:rsidR="0041479B">
        <w:t>)</w:t>
      </w:r>
      <w:r w:rsidRPr="00275432">
        <w:t xml:space="preserve">. </w:t>
      </w:r>
      <w:r w:rsidR="001B0E23" w:rsidRPr="00275432">
        <w:t xml:space="preserve">It was clear that some students were </w:t>
      </w:r>
      <w:r w:rsidR="006F75E6">
        <w:t>unsure of</w:t>
      </w:r>
      <w:r w:rsidR="001B0E23" w:rsidRPr="00275432">
        <w:t xml:space="preserve"> the formatting required for periodic and perpetual inventory reporting and as such included unnecessary information that did not attract marks and </w:t>
      </w:r>
      <w:r w:rsidR="00326873">
        <w:t>used up</w:t>
      </w:r>
      <w:r w:rsidR="00326873" w:rsidRPr="00275432">
        <w:t xml:space="preserve"> </w:t>
      </w:r>
      <w:r w:rsidR="001B0E23" w:rsidRPr="00275432">
        <w:t>time.</w:t>
      </w:r>
    </w:p>
    <w:p w:rsidR="001B0E23" w:rsidRPr="00275432" w:rsidRDefault="001B0E23" w:rsidP="00275432">
      <w:pPr>
        <w:pStyle w:val="BodyText1"/>
      </w:pPr>
      <w:r w:rsidRPr="00275432">
        <w:t>Correct application of the key concepts was clearly evident in the remaining parts of the question</w:t>
      </w:r>
      <w:r w:rsidR="009F5F7B">
        <w:t>,</w:t>
      </w:r>
      <w:r w:rsidRPr="00275432">
        <w:t xml:space="preserve"> with the higher</w:t>
      </w:r>
      <w:r w:rsidR="009F5F7B">
        <w:t>-</w:t>
      </w:r>
      <w:r w:rsidRPr="00275432">
        <w:t xml:space="preserve">performing students able to make informed comments and provide clear reasoning why they had provided particular answers. This was also evident in </w:t>
      </w:r>
      <w:r w:rsidR="0041479B">
        <w:t>part (g)</w:t>
      </w:r>
      <w:r w:rsidRPr="00275432">
        <w:t xml:space="preserve"> w</w:t>
      </w:r>
      <w:r w:rsidR="009F5F7B">
        <w:t>h</w:t>
      </w:r>
      <w:r w:rsidRPr="00275432">
        <w:t>ere the best answers were able to separate the social and environmental issues from the specific ethical issue of dishonesty.</w:t>
      </w:r>
    </w:p>
    <w:p w:rsidR="001A0F23" w:rsidRPr="000B51DE" w:rsidRDefault="00532959">
      <w:pPr>
        <w:pStyle w:val="Heading2"/>
      </w:pPr>
      <w:r>
        <w:t>Operational Advice</w:t>
      </w:r>
    </w:p>
    <w:p w:rsidR="007E7CA4" w:rsidRDefault="007E7CA4" w:rsidP="007E7CA4">
      <w:pPr>
        <w:pStyle w:val="BodyText1"/>
      </w:pPr>
      <w:r>
        <w:t>School assessment tasks are set and marked by teachers. Teachers’ assessment decisions are reviewed by moderators. Teacher grades/marks should be evident on all student school assessment work.</w:t>
      </w:r>
    </w:p>
    <w:p w:rsidR="00D1677D" w:rsidRPr="00275432" w:rsidRDefault="00FC2AD3" w:rsidP="00275432">
      <w:pPr>
        <w:pStyle w:val="BodyText1"/>
      </w:pPr>
      <w:r>
        <w:t>T</w:t>
      </w:r>
      <w:r w:rsidR="003B798B" w:rsidRPr="00275432">
        <w:t xml:space="preserve">he moderation </w:t>
      </w:r>
      <w:r w:rsidR="00D729EF">
        <w:t>panel</w:t>
      </w:r>
      <w:r w:rsidR="003B798B" w:rsidRPr="00275432">
        <w:t xml:space="preserve"> </w:t>
      </w:r>
      <w:r w:rsidR="001B0E23" w:rsidRPr="00275432">
        <w:t xml:space="preserve">is </w:t>
      </w:r>
      <w:r w:rsidR="003B798B" w:rsidRPr="00275432">
        <w:t xml:space="preserve">seeing </w:t>
      </w:r>
      <w:r w:rsidR="001B0E23" w:rsidRPr="00275432">
        <w:t xml:space="preserve">clear </w:t>
      </w:r>
      <w:r w:rsidR="003B798B" w:rsidRPr="00275432">
        <w:t>evidence that</w:t>
      </w:r>
      <w:r w:rsidR="00D1677D" w:rsidRPr="00275432">
        <w:t xml:space="preserve"> the majority of teachers </w:t>
      </w:r>
      <w:r w:rsidR="003B798B" w:rsidRPr="00275432">
        <w:t xml:space="preserve">are </w:t>
      </w:r>
      <w:r w:rsidR="00D1677D" w:rsidRPr="00275432">
        <w:t xml:space="preserve">taking note of the advice provided in the </w:t>
      </w:r>
      <w:r w:rsidR="00950018">
        <w:t>Moderation Feedback</w:t>
      </w:r>
      <w:r w:rsidR="00D1677D" w:rsidRPr="00275432">
        <w:t xml:space="preserve"> Reports </w:t>
      </w:r>
      <w:r w:rsidR="00950018">
        <w:t xml:space="preserve">provided for each assessment group, </w:t>
      </w:r>
      <w:r w:rsidR="00D1677D" w:rsidRPr="00275432">
        <w:t xml:space="preserve">and </w:t>
      </w:r>
      <w:proofErr w:type="gramStart"/>
      <w:r w:rsidR="00950018">
        <w:t>are</w:t>
      </w:r>
      <w:proofErr w:type="gramEnd"/>
      <w:r w:rsidR="00950018">
        <w:t xml:space="preserve"> </w:t>
      </w:r>
      <w:r w:rsidR="00D1677D" w:rsidRPr="00275432">
        <w:t xml:space="preserve">making minor adjustments as needed. </w:t>
      </w:r>
      <w:r w:rsidR="003B798B" w:rsidRPr="00275432">
        <w:t>To continue with this improvement</w:t>
      </w:r>
      <w:r w:rsidR="009F5F7B">
        <w:t>,</w:t>
      </w:r>
      <w:r w:rsidR="003B798B" w:rsidRPr="00275432">
        <w:t xml:space="preserve"> t</w:t>
      </w:r>
      <w:r w:rsidR="00D1677D" w:rsidRPr="00275432">
        <w:t>he following points may assist in development and presentation of materials for the next year.</w:t>
      </w:r>
    </w:p>
    <w:p w:rsidR="00407FD4" w:rsidRDefault="001B0E23" w:rsidP="00407FD4">
      <w:pPr>
        <w:pStyle w:val="dotpoints"/>
        <w:numPr>
          <w:ilvl w:val="0"/>
          <w:numId w:val="15"/>
        </w:numPr>
        <w:tabs>
          <w:tab w:val="num" w:pos="360"/>
        </w:tabs>
        <w:ind w:left="360"/>
      </w:pPr>
      <w:r w:rsidRPr="00275432">
        <w:t xml:space="preserve">Attendance at clarifying forums where possible is strongly encouraged to allow teachers to confirm </w:t>
      </w:r>
      <w:r w:rsidR="00FC2AD3">
        <w:t xml:space="preserve">that </w:t>
      </w:r>
      <w:r w:rsidRPr="00275432">
        <w:t>their approach and types of task are appropriate.</w:t>
      </w:r>
      <w:r w:rsidR="008900BE">
        <w:t xml:space="preserve"> </w:t>
      </w:r>
      <w:r w:rsidRPr="00275432">
        <w:t>Clarifying forums also provide an opportunity to network with other teachers to share and enhance existing tasks.</w:t>
      </w:r>
    </w:p>
    <w:p w:rsidR="00407FD4" w:rsidRDefault="00D1677D" w:rsidP="00407FD4">
      <w:pPr>
        <w:pStyle w:val="dotpoints"/>
        <w:numPr>
          <w:ilvl w:val="0"/>
          <w:numId w:val="15"/>
        </w:numPr>
        <w:tabs>
          <w:tab w:val="num" w:pos="360"/>
        </w:tabs>
        <w:ind w:left="360"/>
      </w:pPr>
      <w:r w:rsidRPr="00275432">
        <w:t>For moderation</w:t>
      </w:r>
      <w:r w:rsidR="00FC2AD3">
        <w:t>,</w:t>
      </w:r>
      <w:r w:rsidR="00C347A5">
        <w:t xml:space="preserve"> teachers should </w:t>
      </w:r>
      <w:r w:rsidR="004027A0" w:rsidRPr="00275432">
        <w:t>inclu</w:t>
      </w:r>
      <w:r w:rsidR="00C347A5">
        <w:t>de</w:t>
      </w:r>
      <w:r w:rsidR="004027A0" w:rsidRPr="00275432">
        <w:t xml:space="preserve"> a summary sheet of the grades of individual tasks and a final grade based on the performance standards for a single student. Any relevant information that was considered to determine the final grade</w:t>
      </w:r>
      <w:r w:rsidR="008900BE">
        <w:t xml:space="preserve"> (</w:t>
      </w:r>
      <w:r w:rsidR="004027A0" w:rsidRPr="00275432">
        <w:t>including if particular tasks were given greater consideration in determining the final grade</w:t>
      </w:r>
      <w:r w:rsidR="008900BE">
        <w:t>)</w:t>
      </w:r>
      <w:r w:rsidR="004027A0" w:rsidRPr="00275432">
        <w:t xml:space="preserve"> should also be included</w:t>
      </w:r>
      <w:r w:rsidR="00BC5D8E">
        <w:t>,</w:t>
      </w:r>
      <w:r w:rsidR="004027A0" w:rsidRPr="00275432">
        <w:t xml:space="preserve"> as this assists in the moderation process. The purpose of moderation is to confirm the assessment decision made by the teacher and this is more easily achieved when the evidence used by the teacher </w:t>
      </w:r>
      <w:r w:rsidR="00BC5D8E">
        <w:t xml:space="preserve">to </w:t>
      </w:r>
      <w:r w:rsidR="004027A0" w:rsidRPr="00275432">
        <w:t>determine the performance standard is clearly highlighted</w:t>
      </w:r>
      <w:r w:rsidR="008900BE">
        <w:t>.</w:t>
      </w:r>
    </w:p>
    <w:p w:rsidR="00407FD4" w:rsidRDefault="008900BE" w:rsidP="00407FD4">
      <w:pPr>
        <w:pStyle w:val="dotpoints"/>
        <w:numPr>
          <w:ilvl w:val="0"/>
          <w:numId w:val="15"/>
        </w:numPr>
        <w:tabs>
          <w:tab w:val="num" w:pos="360"/>
        </w:tabs>
        <w:ind w:left="360"/>
      </w:pPr>
      <w:r>
        <w:t>C</w:t>
      </w:r>
      <w:r w:rsidR="00D1677D" w:rsidRPr="00275432">
        <w:t xml:space="preserve">lear marking by teachers of individual student work </w:t>
      </w:r>
      <w:r>
        <w:t xml:space="preserve">also </w:t>
      </w:r>
      <w:r w:rsidR="00D1677D" w:rsidRPr="00275432">
        <w:t xml:space="preserve">assists in the moderation. </w:t>
      </w:r>
      <w:r w:rsidR="004027A0" w:rsidRPr="00275432">
        <w:t>In assigning grades</w:t>
      </w:r>
      <w:r>
        <w:t>,</w:t>
      </w:r>
      <w:r w:rsidR="004027A0" w:rsidRPr="00275432">
        <w:t xml:space="preserve"> teachers should attempt to indicate which </w:t>
      </w:r>
      <w:r>
        <w:t>specific features</w:t>
      </w:r>
      <w:r w:rsidR="004027A0" w:rsidRPr="00275432">
        <w:t xml:space="preserve"> have been assessed and at what level these were performed.</w:t>
      </w:r>
      <w:r>
        <w:t xml:space="preserve"> </w:t>
      </w:r>
      <w:r w:rsidR="004027A0" w:rsidRPr="00275432">
        <w:t xml:space="preserve">It </w:t>
      </w:r>
      <w:r w:rsidR="004027A0" w:rsidRPr="00275432">
        <w:lastRenderedPageBreak/>
        <w:t xml:space="preserve">is important that the grades assigned can be clearly linked to the feedback provided in order to allow moderators to confirm grades easily. </w:t>
      </w:r>
      <w:r w:rsidR="00626B1B" w:rsidRPr="00275432">
        <w:t>For example</w:t>
      </w:r>
      <w:r>
        <w:t>,</w:t>
      </w:r>
      <w:r w:rsidR="00626B1B" w:rsidRPr="00275432">
        <w:t xml:space="preserve"> an overall B+ should have feedback that indicates the majority of performance at the B</w:t>
      </w:r>
      <w:r w:rsidR="00C347A5">
        <w:t> </w:t>
      </w:r>
      <w:r w:rsidR="00BC5D8E">
        <w:t xml:space="preserve">level </w:t>
      </w:r>
      <w:r w:rsidR="00626B1B" w:rsidRPr="00275432">
        <w:t>with only some elements in the A band.</w:t>
      </w:r>
    </w:p>
    <w:p w:rsidR="00407FD4" w:rsidRDefault="008900BE" w:rsidP="00407FD4">
      <w:pPr>
        <w:pStyle w:val="dotpoints"/>
        <w:numPr>
          <w:ilvl w:val="0"/>
          <w:numId w:val="15"/>
        </w:numPr>
        <w:tabs>
          <w:tab w:val="num" w:pos="360"/>
        </w:tabs>
        <w:ind w:left="360"/>
      </w:pPr>
      <w:r>
        <w:t>I</w:t>
      </w:r>
      <w:r w:rsidR="00D1677D" w:rsidRPr="00275432">
        <w:t xml:space="preserve">nclusion of a task sheet and mark allocation for each task </w:t>
      </w:r>
      <w:r>
        <w:t xml:space="preserve">in the moderation materials </w:t>
      </w:r>
      <w:r w:rsidR="00D1677D" w:rsidRPr="00275432">
        <w:t>is critical</w:t>
      </w:r>
      <w:r>
        <w:t>,</w:t>
      </w:r>
      <w:r w:rsidR="00D1677D" w:rsidRPr="00275432">
        <w:t xml:space="preserve"> along with a</w:t>
      </w:r>
      <w:r w:rsidR="00A26FA3">
        <w:t xml:space="preserve"> </w:t>
      </w:r>
      <w:r w:rsidR="00D1677D" w:rsidRPr="00275432">
        <w:t xml:space="preserve">clear identification of the </w:t>
      </w:r>
      <w:r>
        <w:t>specific features</w:t>
      </w:r>
      <w:r w:rsidR="00D1677D" w:rsidRPr="00275432">
        <w:t xml:space="preserve"> being considered in a particular task. This assists both students</w:t>
      </w:r>
      <w:r w:rsidR="00C347A5">
        <w:t>,</w:t>
      </w:r>
      <w:r w:rsidR="00D1677D" w:rsidRPr="00275432">
        <w:t xml:space="preserve"> in focusing their efforts</w:t>
      </w:r>
      <w:r w:rsidR="00C347A5">
        <w:t xml:space="preserve"> when undertaking the task,</w:t>
      </w:r>
      <w:r w:rsidR="00D1677D" w:rsidRPr="00275432">
        <w:t xml:space="preserve"> and moderators</w:t>
      </w:r>
      <w:r w:rsidR="00C347A5">
        <w:t>,</w:t>
      </w:r>
      <w:r w:rsidR="00D1677D" w:rsidRPr="00275432">
        <w:t xml:space="preserve"> in confirm</w:t>
      </w:r>
      <w:r w:rsidR="00FC130D">
        <w:t>ing</w:t>
      </w:r>
      <w:r w:rsidR="00D1677D" w:rsidRPr="00275432">
        <w:t xml:space="preserve"> the performance standard for that </w:t>
      </w:r>
      <w:r w:rsidR="006A0DF5">
        <w:t>specific feature.</w:t>
      </w:r>
    </w:p>
    <w:p w:rsidR="001A0F23" w:rsidRPr="00275432" w:rsidRDefault="001A0F23">
      <w:pPr>
        <w:pStyle w:val="Heading2"/>
      </w:pPr>
      <w:r>
        <w:t>General Comments</w:t>
      </w:r>
    </w:p>
    <w:p w:rsidR="004027A0" w:rsidRPr="00275432" w:rsidRDefault="00D729EF" w:rsidP="00275432">
      <w:pPr>
        <w:pStyle w:val="BodyText1"/>
      </w:pPr>
      <w:r>
        <w:t>In general</w:t>
      </w:r>
      <w:r w:rsidR="008C79A4">
        <w:t>,</w:t>
      </w:r>
      <w:r>
        <w:t xml:space="preserve"> </w:t>
      </w:r>
      <w:r w:rsidR="008C79A4">
        <w:t>the</w:t>
      </w:r>
      <w:r w:rsidR="004027A0" w:rsidRPr="00275432">
        <w:t xml:space="preserve"> moderation panel members </w:t>
      </w:r>
      <w:r>
        <w:t xml:space="preserve">noted </w:t>
      </w:r>
      <w:r w:rsidR="004027A0" w:rsidRPr="00275432">
        <w:t xml:space="preserve">the overall improvement in the design of tasks submitted and the expanded opportunities for students to achieve at the various </w:t>
      </w:r>
      <w:proofErr w:type="gramStart"/>
      <w:r w:rsidR="004027A0" w:rsidRPr="00275432">
        <w:t>performance</w:t>
      </w:r>
      <w:proofErr w:type="gramEnd"/>
      <w:r w:rsidR="004027A0" w:rsidRPr="00275432">
        <w:t xml:space="preserve"> standard levels.</w:t>
      </w:r>
      <w:r w:rsidR="00A26FA3">
        <w:t xml:space="preserve"> </w:t>
      </w:r>
      <w:r w:rsidR="004027A0" w:rsidRPr="00275432">
        <w:t>This reinforced the fact that teachers are working hard to provide the best experience for their students and are making use of the materials provided by the SACE Board.</w:t>
      </w:r>
    </w:p>
    <w:p w:rsidR="004027A0" w:rsidRPr="00275432" w:rsidRDefault="004027A0" w:rsidP="00275432">
      <w:pPr>
        <w:pStyle w:val="BodyText1"/>
      </w:pPr>
      <w:r w:rsidRPr="00275432">
        <w:t xml:space="preserve">The importance of task design that fitted within the subject outline and allowed students to achieve at all the performance standard levels was commented on repeatedly during </w:t>
      </w:r>
      <w:r w:rsidR="00D729EF">
        <w:t>moderation</w:t>
      </w:r>
      <w:r w:rsidRPr="00275432">
        <w:t>.</w:t>
      </w:r>
    </w:p>
    <w:p w:rsidR="00D729EF" w:rsidRDefault="004027A0" w:rsidP="00275432">
      <w:pPr>
        <w:pStyle w:val="BodyText1"/>
      </w:pPr>
      <w:r w:rsidRPr="00275432">
        <w:t>A number of exemplar materials were collected during the moderation process and these will provided at the appropriate times through clarifying forums and the online support materials.</w:t>
      </w:r>
    </w:p>
    <w:p w:rsidR="004027A0" w:rsidRPr="00275432" w:rsidRDefault="00D729EF" w:rsidP="00275432">
      <w:pPr>
        <w:pStyle w:val="BodyText1"/>
      </w:pPr>
      <w:r w:rsidRPr="00275432">
        <w:t xml:space="preserve">Feedback from both </w:t>
      </w:r>
      <w:r w:rsidR="008C79A4">
        <w:t>m</w:t>
      </w:r>
      <w:r w:rsidRPr="00275432">
        <w:t>ark</w:t>
      </w:r>
      <w:r w:rsidR="008C79A4">
        <w:t>ers</w:t>
      </w:r>
      <w:r w:rsidRPr="00275432">
        <w:t xml:space="preserve"> and </w:t>
      </w:r>
      <w:r w:rsidR="008C79A4">
        <w:t>m</w:t>
      </w:r>
      <w:r w:rsidRPr="00275432">
        <w:t>oderat</w:t>
      </w:r>
      <w:r w:rsidR="008C79A4">
        <w:t>ors</w:t>
      </w:r>
      <w:r w:rsidRPr="00275432">
        <w:t xml:space="preserve"> was that </w:t>
      </w:r>
      <w:r w:rsidR="00F642EB">
        <w:t xml:space="preserve">marking and moderating provide valuable </w:t>
      </w:r>
      <w:r w:rsidRPr="00275432">
        <w:t xml:space="preserve">experience </w:t>
      </w:r>
      <w:r w:rsidR="00F642EB">
        <w:t xml:space="preserve">for </w:t>
      </w:r>
      <w:r w:rsidR="008C79A4">
        <w:t xml:space="preserve">professional </w:t>
      </w:r>
      <w:r w:rsidR="00F642EB">
        <w:t>development as a teacher.</w:t>
      </w:r>
    </w:p>
    <w:p w:rsidR="001A0F23" w:rsidRPr="00275432" w:rsidRDefault="004027A0" w:rsidP="001A0F23">
      <w:pPr>
        <w:spacing w:before="480"/>
        <w:rPr>
          <w:rFonts w:ascii="Arial" w:hAnsi="Arial" w:cs="Arial"/>
          <w:szCs w:val="22"/>
        </w:rPr>
      </w:pPr>
      <w:r w:rsidRPr="00275432">
        <w:rPr>
          <w:rFonts w:ascii="Arial" w:hAnsi="Arial" w:cs="Arial"/>
          <w:szCs w:val="22"/>
        </w:rPr>
        <w:t>Accounting</w:t>
      </w:r>
    </w:p>
    <w:p w:rsidR="00DC7C11" w:rsidRPr="00EF31AB" w:rsidRDefault="001A0F23" w:rsidP="001B602D">
      <w:r w:rsidRPr="00EF31AB">
        <w:rPr>
          <w:rFonts w:ascii="Arial" w:hAnsi="Arial" w:cs="Arial"/>
          <w:szCs w:val="22"/>
        </w:rPr>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4B0" w:rsidRDefault="00BF14B0">
      <w:r>
        <w:separator/>
      </w:r>
    </w:p>
  </w:endnote>
  <w:endnote w:type="continuationSeparator" w:id="0">
    <w:p w:rsidR="00BF14B0" w:rsidRDefault="00BF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407FD4">
    <w:pPr>
      <w:pStyle w:val="Footer"/>
      <w:framePr w:wrap="around" w:vAnchor="text" w:hAnchor="margin" w:xAlign="center" w:y="1"/>
      <w:rPr>
        <w:rStyle w:val="PageNumber"/>
      </w:rPr>
    </w:pPr>
    <w:r>
      <w:rPr>
        <w:rStyle w:val="PageNumber"/>
      </w:rPr>
      <w:fldChar w:fldCharType="begin"/>
    </w:r>
    <w:r w:rsidR="001A0F23">
      <w:rPr>
        <w:rStyle w:val="PageNumber"/>
      </w:rPr>
      <w:instrText xml:space="preserve">PAGE  </w:instrText>
    </w:r>
    <w:r>
      <w:rPr>
        <w:rStyle w:val="PageNumber"/>
      </w:rPr>
      <w:fldChar w:fldCharType="separate"/>
    </w:r>
    <w:r w:rsidR="001A0F23">
      <w:rPr>
        <w:rStyle w:val="PageNumber"/>
        <w:noProof/>
      </w:rPr>
      <w:t>1</w:t>
    </w:r>
    <w:r>
      <w:rPr>
        <w:rStyle w:val="PageNumber"/>
      </w:rPr>
      <w:fldChar w:fldCharType="end"/>
    </w:r>
  </w:p>
  <w:p w:rsidR="001A0F23" w:rsidRDefault="001A0F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407FD4">
    <w:pPr>
      <w:pStyle w:val="Footer"/>
      <w:framePr w:wrap="around" w:vAnchor="text" w:hAnchor="margin" w:xAlign="center" w:y="1"/>
      <w:rPr>
        <w:rStyle w:val="PageNumber"/>
      </w:rPr>
    </w:pPr>
    <w:r>
      <w:rPr>
        <w:rStyle w:val="PageNumber"/>
      </w:rPr>
      <w:fldChar w:fldCharType="begin"/>
    </w:r>
    <w:r w:rsidR="001A0F23">
      <w:rPr>
        <w:rStyle w:val="PageNumber"/>
      </w:rPr>
      <w:instrText xml:space="preserve">PAGE  </w:instrText>
    </w:r>
    <w:r>
      <w:rPr>
        <w:rStyle w:val="PageNumber"/>
      </w:rPr>
      <w:fldChar w:fldCharType="separate"/>
    </w:r>
    <w:r w:rsidR="001A0F23">
      <w:rPr>
        <w:rStyle w:val="PageNumber"/>
        <w:noProof/>
      </w:rPr>
      <w:t>1</w:t>
    </w:r>
    <w:r>
      <w:rPr>
        <w:rStyle w:val="PageNumber"/>
      </w:rPr>
      <w:fldChar w:fldCharType="end"/>
    </w:r>
  </w:p>
  <w:p w:rsidR="001A0F23" w:rsidRDefault="001A0F23">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Pr="00275432" w:rsidRDefault="001B0E23" w:rsidP="000A7E3A">
    <w:pPr>
      <w:pStyle w:val="Footer"/>
      <w:tabs>
        <w:tab w:val="clear" w:pos="4153"/>
      </w:tabs>
      <w:ind w:right="91"/>
      <w:rPr>
        <w:rFonts w:ascii="Arial" w:hAnsi="Arial" w:cs="Arial"/>
        <w:sz w:val="18"/>
        <w:szCs w:val="18"/>
        <w:lang w:val="en-US"/>
      </w:rPr>
    </w:pPr>
    <w:r w:rsidRPr="00275432">
      <w:rPr>
        <w:rFonts w:ascii="Arial" w:hAnsi="Arial" w:cs="Arial"/>
        <w:sz w:val="18"/>
        <w:szCs w:val="18"/>
        <w:lang w:val="en-US"/>
      </w:rPr>
      <w:t>Accounting</w:t>
    </w:r>
    <w:r w:rsidR="009C1816" w:rsidRPr="00275432">
      <w:rPr>
        <w:rFonts w:ascii="Arial" w:hAnsi="Arial" w:cs="Arial"/>
        <w:sz w:val="18"/>
        <w:szCs w:val="18"/>
        <w:lang w:val="en-US"/>
      </w:rPr>
      <w:t xml:space="preserve"> </w:t>
    </w:r>
    <w:r w:rsidR="008D4935" w:rsidRPr="00275432">
      <w:rPr>
        <w:rFonts w:ascii="Arial" w:hAnsi="Arial" w:cs="Arial"/>
        <w:sz w:val="18"/>
        <w:szCs w:val="18"/>
        <w:lang w:val="en-US"/>
      </w:rPr>
      <w:t>201</w:t>
    </w:r>
    <w:r w:rsidRPr="00275432">
      <w:rPr>
        <w:rFonts w:ascii="Arial" w:hAnsi="Arial" w:cs="Arial"/>
        <w:sz w:val="18"/>
        <w:szCs w:val="18"/>
        <w:lang w:val="en-US"/>
      </w:rPr>
      <w:t>5</w:t>
    </w:r>
    <w:r w:rsidR="008D4935" w:rsidRPr="00275432">
      <w:rPr>
        <w:rFonts w:ascii="Arial" w:hAnsi="Arial" w:cs="Arial"/>
        <w:sz w:val="18"/>
        <w:szCs w:val="18"/>
        <w:lang w:val="en-US"/>
      </w:rPr>
      <w:t xml:space="preserve"> </w:t>
    </w:r>
    <w:r w:rsidR="000A7E3A" w:rsidRPr="00275432">
      <w:rPr>
        <w:rFonts w:ascii="Arial" w:hAnsi="Arial" w:cs="Arial"/>
        <w:sz w:val="18"/>
        <w:szCs w:val="18"/>
        <w:lang w:val="en-US"/>
      </w:rPr>
      <w:t>Chief Assessor’s</w:t>
    </w:r>
    <w:r w:rsidR="009C1816" w:rsidRPr="00275432">
      <w:rPr>
        <w:rFonts w:ascii="Arial" w:hAnsi="Arial" w:cs="Arial"/>
        <w:sz w:val="18"/>
        <w:szCs w:val="18"/>
        <w:lang w:val="en-US"/>
      </w:rPr>
      <w:t xml:space="preserve"> Report</w:t>
    </w:r>
    <w:r w:rsidR="009C1816" w:rsidRPr="00275432">
      <w:rPr>
        <w:rFonts w:ascii="Arial" w:hAnsi="Arial" w:cs="Arial"/>
        <w:sz w:val="18"/>
        <w:szCs w:val="18"/>
        <w:lang w:val="en-US"/>
      </w:rPr>
      <w:tab/>
      <w:t xml:space="preserve">Page </w:t>
    </w:r>
    <w:r w:rsidR="00407FD4" w:rsidRPr="00275432">
      <w:rPr>
        <w:rFonts w:ascii="Arial" w:hAnsi="Arial" w:cs="Arial"/>
        <w:sz w:val="18"/>
        <w:szCs w:val="18"/>
        <w:lang w:val="en-US"/>
      </w:rPr>
      <w:fldChar w:fldCharType="begin"/>
    </w:r>
    <w:r w:rsidR="009C1816" w:rsidRPr="00275432">
      <w:rPr>
        <w:rFonts w:ascii="Arial" w:hAnsi="Arial" w:cs="Arial"/>
        <w:sz w:val="18"/>
        <w:szCs w:val="18"/>
        <w:lang w:val="en-US"/>
      </w:rPr>
      <w:instrText xml:space="preserve"> PAGE </w:instrText>
    </w:r>
    <w:r w:rsidR="00407FD4" w:rsidRPr="00275432">
      <w:rPr>
        <w:rFonts w:ascii="Arial" w:hAnsi="Arial" w:cs="Arial"/>
        <w:sz w:val="18"/>
        <w:szCs w:val="18"/>
        <w:lang w:val="en-US"/>
      </w:rPr>
      <w:fldChar w:fldCharType="separate"/>
    </w:r>
    <w:r w:rsidR="00737A09">
      <w:rPr>
        <w:rFonts w:ascii="Arial" w:hAnsi="Arial" w:cs="Arial"/>
        <w:noProof/>
        <w:sz w:val="18"/>
        <w:szCs w:val="18"/>
        <w:lang w:val="en-US"/>
      </w:rPr>
      <w:t>7</w:t>
    </w:r>
    <w:r w:rsidR="00407FD4" w:rsidRPr="00275432">
      <w:rPr>
        <w:rFonts w:ascii="Arial" w:hAnsi="Arial" w:cs="Arial"/>
        <w:sz w:val="18"/>
        <w:szCs w:val="18"/>
        <w:lang w:val="en-US"/>
      </w:rPr>
      <w:fldChar w:fldCharType="end"/>
    </w:r>
    <w:r w:rsidR="009C1816" w:rsidRPr="00275432">
      <w:rPr>
        <w:rFonts w:ascii="Arial" w:hAnsi="Arial" w:cs="Arial"/>
        <w:sz w:val="18"/>
        <w:szCs w:val="18"/>
        <w:lang w:val="en-US"/>
      </w:rPr>
      <w:t xml:space="preserve"> of </w:t>
    </w:r>
    <w:r w:rsidR="00407FD4" w:rsidRPr="00275432">
      <w:rPr>
        <w:rFonts w:ascii="Arial" w:hAnsi="Arial" w:cs="Arial"/>
        <w:sz w:val="18"/>
        <w:szCs w:val="18"/>
        <w:lang w:val="en-US"/>
      </w:rPr>
      <w:fldChar w:fldCharType="begin"/>
    </w:r>
    <w:r w:rsidR="009C1816" w:rsidRPr="00275432">
      <w:rPr>
        <w:rFonts w:ascii="Arial" w:hAnsi="Arial" w:cs="Arial"/>
        <w:sz w:val="18"/>
        <w:szCs w:val="18"/>
        <w:lang w:val="en-US"/>
      </w:rPr>
      <w:instrText xml:space="preserve"> NUMPAGES </w:instrText>
    </w:r>
    <w:r w:rsidR="00407FD4" w:rsidRPr="00275432">
      <w:rPr>
        <w:rFonts w:ascii="Arial" w:hAnsi="Arial" w:cs="Arial"/>
        <w:sz w:val="18"/>
        <w:szCs w:val="18"/>
        <w:lang w:val="en-US"/>
      </w:rPr>
      <w:fldChar w:fldCharType="separate"/>
    </w:r>
    <w:r w:rsidR="00737A09">
      <w:rPr>
        <w:rFonts w:ascii="Arial" w:hAnsi="Arial" w:cs="Arial"/>
        <w:noProof/>
        <w:sz w:val="18"/>
        <w:szCs w:val="18"/>
        <w:lang w:val="en-US"/>
      </w:rPr>
      <w:t>7</w:t>
    </w:r>
    <w:r w:rsidR="00407FD4" w:rsidRPr="00275432">
      <w:rPr>
        <w:rFonts w:ascii="Arial" w:hAnsi="Arial" w:cs="Arial"/>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407FD4">
    <w:pPr>
      <w:pStyle w:val="Footer"/>
      <w:framePr w:wrap="around" w:vAnchor="text" w:hAnchor="margin" w:xAlign="center" w:y="1"/>
      <w:rPr>
        <w:rStyle w:val="PageNumber"/>
      </w:rPr>
    </w:pPr>
    <w:r>
      <w:rPr>
        <w:rStyle w:val="PageNumber"/>
      </w:rPr>
      <w:fldChar w:fldCharType="begin"/>
    </w:r>
    <w:r w:rsidR="009C1816">
      <w:rPr>
        <w:rStyle w:val="PageNumber"/>
      </w:rPr>
      <w:instrText xml:space="preserve">PAGE  </w:instrText>
    </w:r>
    <w:r>
      <w:rPr>
        <w:rStyle w:val="PageNumber"/>
      </w:rPr>
      <w:fldChar w:fldCharType="separate"/>
    </w:r>
    <w:r w:rsidR="009C1816">
      <w:rPr>
        <w:rStyle w:val="PageNumber"/>
        <w:noProof/>
      </w:rPr>
      <w:t>1</w:t>
    </w:r>
    <w:r>
      <w:rPr>
        <w:rStyle w:val="PageNumber"/>
      </w:rPr>
      <w:fldChar w:fldCharType="end"/>
    </w:r>
  </w:p>
  <w:p w:rsidR="009C1816" w:rsidRDefault="009C1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4B0" w:rsidRDefault="00BF14B0">
      <w:r>
        <w:separator/>
      </w:r>
    </w:p>
  </w:footnote>
  <w:footnote w:type="continuationSeparator" w:id="0">
    <w:p w:rsidR="00BF14B0" w:rsidRDefault="00BF1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D7C1325"/>
    <w:multiLevelType w:val="hybridMultilevel"/>
    <w:tmpl w:val="3F6466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AD24A84"/>
    <w:multiLevelType w:val="hybridMultilevel"/>
    <w:tmpl w:val="CFFEB8D0"/>
    <w:lvl w:ilvl="0" w:tplc="BA94430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72E62EB9"/>
    <w:multiLevelType w:val="hybridMultilevel"/>
    <w:tmpl w:val="3AC87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2"/>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1278D"/>
    <w:rsid w:val="00033664"/>
    <w:rsid w:val="0003423C"/>
    <w:rsid w:val="0004325A"/>
    <w:rsid w:val="00047997"/>
    <w:rsid w:val="00054F9D"/>
    <w:rsid w:val="0006121E"/>
    <w:rsid w:val="0007081C"/>
    <w:rsid w:val="00073E11"/>
    <w:rsid w:val="00095FD4"/>
    <w:rsid w:val="000A7E3A"/>
    <w:rsid w:val="000B51DE"/>
    <w:rsid w:val="000C3880"/>
    <w:rsid w:val="000C7C0A"/>
    <w:rsid w:val="000D21AC"/>
    <w:rsid w:val="000D25A1"/>
    <w:rsid w:val="000E4E6A"/>
    <w:rsid w:val="000F21F1"/>
    <w:rsid w:val="0010157A"/>
    <w:rsid w:val="00113786"/>
    <w:rsid w:val="001138EE"/>
    <w:rsid w:val="00140EB2"/>
    <w:rsid w:val="001474AD"/>
    <w:rsid w:val="00160240"/>
    <w:rsid w:val="00165AA5"/>
    <w:rsid w:val="00182C71"/>
    <w:rsid w:val="001A0F23"/>
    <w:rsid w:val="001B0589"/>
    <w:rsid w:val="001B0E23"/>
    <w:rsid w:val="001B602D"/>
    <w:rsid w:val="001C65C8"/>
    <w:rsid w:val="001C7099"/>
    <w:rsid w:val="001F3325"/>
    <w:rsid w:val="001F4153"/>
    <w:rsid w:val="002042D6"/>
    <w:rsid w:val="00225FC5"/>
    <w:rsid w:val="00247A2D"/>
    <w:rsid w:val="0027015F"/>
    <w:rsid w:val="00275432"/>
    <w:rsid w:val="00292C9C"/>
    <w:rsid w:val="002948CC"/>
    <w:rsid w:val="002A00B7"/>
    <w:rsid w:val="002A21C2"/>
    <w:rsid w:val="002B625C"/>
    <w:rsid w:val="002C5A36"/>
    <w:rsid w:val="002C62D8"/>
    <w:rsid w:val="002E0045"/>
    <w:rsid w:val="003110F2"/>
    <w:rsid w:val="00312191"/>
    <w:rsid w:val="003232CC"/>
    <w:rsid w:val="00326873"/>
    <w:rsid w:val="00335C93"/>
    <w:rsid w:val="003463FB"/>
    <w:rsid w:val="00355FAC"/>
    <w:rsid w:val="00361D31"/>
    <w:rsid w:val="003671C1"/>
    <w:rsid w:val="003800DD"/>
    <w:rsid w:val="003A065E"/>
    <w:rsid w:val="003B2343"/>
    <w:rsid w:val="003B798B"/>
    <w:rsid w:val="003C7581"/>
    <w:rsid w:val="003E0522"/>
    <w:rsid w:val="003E28C5"/>
    <w:rsid w:val="004027A0"/>
    <w:rsid w:val="00407FD4"/>
    <w:rsid w:val="00410A37"/>
    <w:rsid w:val="0041479B"/>
    <w:rsid w:val="00417766"/>
    <w:rsid w:val="004875CD"/>
    <w:rsid w:val="004D0F80"/>
    <w:rsid w:val="004D2A53"/>
    <w:rsid w:val="004E5A88"/>
    <w:rsid w:val="004E77C7"/>
    <w:rsid w:val="005173C3"/>
    <w:rsid w:val="005252F3"/>
    <w:rsid w:val="0053196F"/>
    <w:rsid w:val="00532959"/>
    <w:rsid w:val="00553D91"/>
    <w:rsid w:val="00560F4B"/>
    <w:rsid w:val="00574A4E"/>
    <w:rsid w:val="00575C7A"/>
    <w:rsid w:val="0057732B"/>
    <w:rsid w:val="0058122A"/>
    <w:rsid w:val="00597399"/>
    <w:rsid w:val="005A4E6F"/>
    <w:rsid w:val="005B1FDF"/>
    <w:rsid w:val="005D713B"/>
    <w:rsid w:val="00603332"/>
    <w:rsid w:val="00603E07"/>
    <w:rsid w:val="006047FB"/>
    <w:rsid w:val="0060535F"/>
    <w:rsid w:val="00610B13"/>
    <w:rsid w:val="00613FDD"/>
    <w:rsid w:val="006246EA"/>
    <w:rsid w:val="006256CF"/>
    <w:rsid w:val="00626B1B"/>
    <w:rsid w:val="0066363A"/>
    <w:rsid w:val="00663BA6"/>
    <w:rsid w:val="00664156"/>
    <w:rsid w:val="006714BC"/>
    <w:rsid w:val="006829AF"/>
    <w:rsid w:val="00684BC5"/>
    <w:rsid w:val="006951B8"/>
    <w:rsid w:val="006A0DF5"/>
    <w:rsid w:val="006B16AD"/>
    <w:rsid w:val="006B4308"/>
    <w:rsid w:val="006C3FEB"/>
    <w:rsid w:val="006D46C9"/>
    <w:rsid w:val="006D663D"/>
    <w:rsid w:val="006E4846"/>
    <w:rsid w:val="006E51DA"/>
    <w:rsid w:val="006F16ED"/>
    <w:rsid w:val="006F554F"/>
    <w:rsid w:val="006F75E6"/>
    <w:rsid w:val="0070667A"/>
    <w:rsid w:val="00737A09"/>
    <w:rsid w:val="00744070"/>
    <w:rsid w:val="00744570"/>
    <w:rsid w:val="007574A1"/>
    <w:rsid w:val="00757A06"/>
    <w:rsid w:val="0079634D"/>
    <w:rsid w:val="007B08BF"/>
    <w:rsid w:val="007C16AD"/>
    <w:rsid w:val="007C6C6C"/>
    <w:rsid w:val="007E53D6"/>
    <w:rsid w:val="007E7CA4"/>
    <w:rsid w:val="0083404B"/>
    <w:rsid w:val="00847D4F"/>
    <w:rsid w:val="00853C3A"/>
    <w:rsid w:val="008564CB"/>
    <w:rsid w:val="00885F08"/>
    <w:rsid w:val="008900BE"/>
    <w:rsid w:val="008A4662"/>
    <w:rsid w:val="008A7253"/>
    <w:rsid w:val="008C6892"/>
    <w:rsid w:val="008C79A4"/>
    <w:rsid w:val="008D3922"/>
    <w:rsid w:val="008D4935"/>
    <w:rsid w:val="008D6093"/>
    <w:rsid w:val="008D7630"/>
    <w:rsid w:val="008F68EB"/>
    <w:rsid w:val="00905000"/>
    <w:rsid w:val="00934B47"/>
    <w:rsid w:val="00950018"/>
    <w:rsid w:val="00951B11"/>
    <w:rsid w:val="009557B1"/>
    <w:rsid w:val="00970830"/>
    <w:rsid w:val="009867AC"/>
    <w:rsid w:val="009A23FD"/>
    <w:rsid w:val="009A443D"/>
    <w:rsid w:val="009A4917"/>
    <w:rsid w:val="009B44BF"/>
    <w:rsid w:val="009B5EE0"/>
    <w:rsid w:val="009C1816"/>
    <w:rsid w:val="009D13AD"/>
    <w:rsid w:val="009D7282"/>
    <w:rsid w:val="009F4384"/>
    <w:rsid w:val="009F5F7B"/>
    <w:rsid w:val="009F78D3"/>
    <w:rsid w:val="00A01655"/>
    <w:rsid w:val="00A26FA3"/>
    <w:rsid w:val="00A41CFF"/>
    <w:rsid w:val="00A53EB2"/>
    <w:rsid w:val="00A74970"/>
    <w:rsid w:val="00A912F2"/>
    <w:rsid w:val="00A956BA"/>
    <w:rsid w:val="00AB1BDE"/>
    <w:rsid w:val="00AB5993"/>
    <w:rsid w:val="00AB63FF"/>
    <w:rsid w:val="00AE46B4"/>
    <w:rsid w:val="00AF1476"/>
    <w:rsid w:val="00AF39C6"/>
    <w:rsid w:val="00B1461F"/>
    <w:rsid w:val="00B369B7"/>
    <w:rsid w:val="00B37AB5"/>
    <w:rsid w:val="00B55E8B"/>
    <w:rsid w:val="00B7041D"/>
    <w:rsid w:val="00BA15A8"/>
    <w:rsid w:val="00BA47C5"/>
    <w:rsid w:val="00BC5D8E"/>
    <w:rsid w:val="00BF14B0"/>
    <w:rsid w:val="00C347A5"/>
    <w:rsid w:val="00C36140"/>
    <w:rsid w:val="00C36F08"/>
    <w:rsid w:val="00C423D7"/>
    <w:rsid w:val="00C61173"/>
    <w:rsid w:val="00C62CEF"/>
    <w:rsid w:val="00C817BC"/>
    <w:rsid w:val="00C86F95"/>
    <w:rsid w:val="00C87071"/>
    <w:rsid w:val="00C878D2"/>
    <w:rsid w:val="00C94D01"/>
    <w:rsid w:val="00CA1D18"/>
    <w:rsid w:val="00CC03DA"/>
    <w:rsid w:val="00CD08D5"/>
    <w:rsid w:val="00CD20B5"/>
    <w:rsid w:val="00CD32DE"/>
    <w:rsid w:val="00CD6252"/>
    <w:rsid w:val="00CE38BC"/>
    <w:rsid w:val="00D0147B"/>
    <w:rsid w:val="00D02C9E"/>
    <w:rsid w:val="00D108CB"/>
    <w:rsid w:val="00D16430"/>
    <w:rsid w:val="00D1677D"/>
    <w:rsid w:val="00D2149A"/>
    <w:rsid w:val="00D27BE6"/>
    <w:rsid w:val="00D729EF"/>
    <w:rsid w:val="00DA0A8B"/>
    <w:rsid w:val="00DA62AE"/>
    <w:rsid w:val="00DB0401"/>
    <w:rsid w:val="00DB5AF3"/>
    <w:rsid w:val="00DB6E71"/>
    <w:rsid w:val="00DC7C11"/>
    <w:rsid w:val="00DD19CB"/>
    <w:rsid w:val="00DD7C09"/>
    <w:rsid w:val="00DE2755"/>
    <w:rsid w:val="00DE3E29"/>
    <w:rsid w:val="00DF2E21"/>
    <w:rsid w:val="00DF42D8"/>
    <w:rsid w:val="00E11031"/>
    <w:rsid w:val="00E253E3"/>
    <w:rsid w:val="00E4274D"/>
    <w:rsid w:val="00E45AD0"/>
    <w:rsid w:val="00E55E7F"/>
    <w:rsid w:val="00E76CCB"/>
    <w:rsid w:val="00E87E9A"/>
    <w:rsid w:val="00EA125F"/>
    <w:rsid w:val="00EA5111"/>
    <w:rsid w:val="00EB12C8"/>
    <w:rsid w:val="00EC3FCB"/>
    <w:rsid w:val="00EE326E"/>
    <w:rsid w:val="00EF31AB"/>
    <w:rsid w:val="00EF3901"/>
    <w:rsid w:val="00F01589"/>
    <w:rsid w:val="00F02D47"/>
    <w:rsid w:val="00F12861"/>
    <w:rsid w:val="00F5454B"/>
    <w:rsid w:val="00F642EB"/>
    <w:rsid w:val="00F802C4"/>
    <w:rsid w:val="00F80E22"/>
    <w:rsid w:val="00FA5691"/>
    <w:rsid w:val="00FB0B0A"/>
    <w:rsid w:val="00FC130D"/>
    <w:rsid w:val="00FC1ED0"/>
    <w:rsid w:val="00FC2AD3"/>
    <w:rsid w:val="00FC3112"/>
    <w:rsid w:val="00FC603F"/>
    <w:rsid w:val="00FF50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Topicheading2">
    <w:name w:val="Topicheading2"/>
    <w:basedOn w:val="Normal"/>
    <w:qFormat/>
    <w:rsid w:val="00AE46B4"/>
    <w:pPr>
      <w:spacing w:before="240" w:after="240"/>
      <w:jc w:val="center"/>
    </w:pPr>
    <w:rPr>
      <w:rFonts w:ascii="Arial" w:hAnsi="Arial"/>
      <w:b/>
      <w:bCs/>
      <w:sz w:val="24"/>
    </w:rPr>
  </w:style>
  <w:style w:type="paragraph" w:customStyle="1" w:styleId="Italicsheading">
    <w:name w:val="Italicsheading"/>
    <w:qFormat/>
    <w:rsid w:val="00AE46B4"/>
    <w:rPr>
      <w:rFonts w:ascii="Arial" w:hAnsi="Arial"/>
      <w:i/>
      <w:i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Topicheading2">
    <w:name w:val="Topicheading2"/>
    <w:basedOn w:val="Normal"/>
    <w:qFormat/>
    <w:rsid w:val="00AE46B4"/>
    <w:pPr>
      <w:spacing w:before="240" w:after="240"/>
      <w:jc w:val="center"/>
    </w:pPr>
    <w:rPr>
      <w:rFonts w:ascii="Arial" w:hAnsi="Arial"/>
      <w:b/>
      <w:bCs/>
      <w:sz w:val="24"/>
    </w:rPr>
  </w:style>
  <w:style w:type="paragraph" w:customStyle="1" w:styleId="Italicsheading">
    <w:name w:val="Italicsheading"/>
    <w:qFormat/>
    <w:rsid w:val="00AE46B4"/>
    <w:rPr>
      <w:rFonts w:ascii="Arial" w:hAnsi="Arial"/>
      <w:i/>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79C2C25-7E9C-4649-A6D5-81C5ACE9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85</TotalTime>
  <Pages>7</Pages>
  <Words>2615</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Chris May</cp:lastModifiedBy>
  <cp:revision>8</cp:revision>
  <cp:lastPrinted>2011-08-01T03:09:00Z</cp:lastPrinted>
  <dcterms:created xsi:type="dcterms:W3CDTF">2016-02-15T13:06:00Z</dcterms:created>
  <dcterms:modified xsi:type="dcterms:W3CDTF">2016-02-22T22:22:00Z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A500592</vt:lpwstr>
  </property>
  <property fmtid="{D5CDD505-2E9C-101B-9397-08002B2CF9AE}" pid="3" name="Objective-Comment">
    <vt:lpwstr/>
  </property>
  <property fmtid="{D5CDD505-2E9C-101B-9397-08002B2CF9AE}" pid="4" name="Objective-CreationStamp">
    <vt:filetime>2016-02-02T23:47:16Z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2016-02-22T22:24:31Z</vt:filetime>
  </property>
  <property fmtid="{D5CDD505-2E9C-101B-9397-08002B2CF9AE}" pid="9" name="Objective-Owner">
    <vt:lpwstr>Chris May</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Accounting Chief Assessors Report</vt:lpwstr>
  </property>
  <property fmtid="{D5CDD505-2E9C-101B-9397-08002B2CF9AE}" pid="14" name="Objective-Version">
    <vt:lpwstr>1.1</vt:lpwstr>
  </property>
  <property fmtid="{D5CDD505-2E9C-101B-9397-08002B2CF9AE}" pid="15" name="Objective-VersionComment">
    <vt:lpwstr>Approved for upload.</vt:lpwstr>
  </property>
  <property fmtid="{D5CDD505-2E9C-101B-9397-08002B2CF9AE}" pid="16" name="Objective-VersionNumber">
    <vt:r8>9</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