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D972F0">
      <w:pPr>
        <w:pStyle w:val="FrontPageHeading"/>
      </w:pPr>
      <w:r>
        <w:t>Workplace Practices</w:t>
      </w:r>
    </w:p>
    <w:p w:rsidR="001A0F23" w:rsidRPr="00225FC5" w:rsidRDefault="001A0F23" w:rsidP="00D972F0">
      <w:pPr>
        <w:pStyle w:val="FrontPageSub-heading"/>
      </w:pPr>
      <w:r>
        <w:t>201</w:t>
      </w:r>
      <w:r w:rsidR="00E261D1">
        <w:t>5</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D972F0" w:rsidP="00A81CA3">
      <w:pPr>
        <w:pStyle w:val="Heading1"/>
      </w:pPr>
      <w:r>
        <w:lastRenderedPageBreak/>
        <w:t>Workplace Practices</w:t>
      </w:r>
    </w:p>
    <w:p w:rsidR="00B1461F" w:rsidRPr="00A81CA3" w:rsidRDefault="00B1461F" w:rsidP="00A81CA3">
      <w:pPr>
        <w:pStyle w:val="Heading1"/>
      </w:pPr>
    </w:p>
    <w:p w:rsidR="001A0F23" w:rsidRPr="00A81CA3" w:rsidRDefault="001A0F23" w:rsidP="00A81CA3">
      <w:pPr>
        <w:pStyle w:val="Heading1"/>
      </w:pPr>
      <w:r w:rsidRPr="00A81CA3">
        <w:t>201</w:t>
      </w:r>
      <w:r w:rsidR="00814A7B">
        <w:t>5</w:t>
      </w:r>
      <w:r w:rsidRPr="00A81CA3">
        <w:t xml:space="preserve"> </w:t>
      </w:r>
      <w:r w:rsidR="00B1461F" w:rsidRPr="00A81CA3">
        <w:t>Chief Assessor’s Report</w:t>
      </w:r>
    </w:p>
    <w:p w:rsidR="001A0F23" w:rsidRPr="0054520B" w:rsidRDefault="00532959" w:rsidP="00A81CA3">
      <w:pPr>
        <w:pStyle w:val="Heading2"/>
      </w:pPr>
      <w:r w:rsidRPr="0054520B">
        <w:t>Overview</w:t>
      </w:r>
    </w:p>
    <w:p w:rsidR="00627A66" w:rsidRPr="00012027" w:rsidRDefault="00627A66" w:rsidP="00627A66">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Default="00D71030" w:rsidP="001A0F23">
      <w:pPr>
        <w:pStyle w:val="BodyText1"/>
      </w:pPr>
      <w:r w:rsidRPr="00D71030">
        <w:t>In 2015 there appeared to be a better understanding by teachers of the W</w:t>
      </w:r>
      <w:r w:rsidR="00F15D68">
        <w:t>orkplace Practices</w:t>
      </w:r>
      <w:r w:rsidRPr="00D71030">
        <w:t xml:space="preserve"> </w:t>
      </w:r>
      <w:r w:rsidR="00627A66">
        <w:t>s</w:t>
      </w:r>
      <w:r w:rsidRPr="00D71030">
        <w:t xml:space="preserve">ubject </w:t>
      </w:r>
      <w:r w:rsidR="00627A66">
        <w:t>o</w:t>
      </w:r>
      <w:r w:rsidRPr="00D71030">
        <w:t xml:space="preserve">utline and therefore better student performance overall. </w:t>
      </w:r>
      <w:r>
        <w:t xml:space="preserve">A </w:t>
      </w:r>
      <w:r w:rsidR="000C2365">
        <w:t>good</w:t>
      </w:r>
      <w:r>
        <w:t xml:space="preserve"> understanding of the </w:t>
      </w:r>
      <w:r w:rsidR="00627A66">
        <w:t>s</w:t>
      </w:r>
      <w:r>
        <w:t xml:space="preserve">ubject </w:t>
      </w:r>
      <w:r w:rsidR="00627A66">
        <w:t>o</w:t>
      </w:r>
      <w:r>
        <w:t>utline and read</w:t>
      </w:r>
      <w:r w:rsidR="00A8612A">
        <w:t>ing of</w:t>
      </w:r>
      <w:r>
        <w:t xml:space="preserve"> the Chief Assessor</w:t>
      </w:r>
      <w:r w:rsidR="00627A66">
        <w:t>’</w:t>
      </w:r>
      <w:r>
        <w:t xml:space="preserve">s </w:t>
      </w:r>
      <w:r w:rsidR="00627A66">
        <w:t>r</w:t>
      </w:r>
      <w:r>
        <w:t xml:space="preserve">eport </w:t>
      </w:r>
      <w:r w:rsidR="002251CC">
        <w:t>provide</w:t>
      </w:r>
      <w:r>
        <w:t xml:space="preserve"> a sound basis for teachers to </w:t>
      </w:r>
      <w:r w:rsidR="00A8612A">
        <w:t>best</w:t>
      </w:r>
      <w:r>
        <w:t xml:space="preserve"> assist their students </w:t>
      </w:r>
      <w:r w:rsidR="00A8612A">
        <w:t>in achieving</w:t>
      </w:r>
      <w:r>
        <w:t xml:space="preserve"> success in this subject.</w:t>
      </w:r>
      <w:r w:rsidR="00A8612A">
        <w:t xml:space="preserve"> It was evident in 2015 that teachers are increasingly using Workplace Practices to add context and depth to students’ career or vocational learning; this allows students to better explore their work choices and future learning whil</w:t>
      </w:r>
      <w:r w:rsidR="00627A66">
        <w:t>e</w:t>
      </w:r>
      <w:r w:rsidR="00A8612A">
        <w:t xml:space="preserve"> at school and to make the most of their </w:t>
      </w:r>
      <w:r w:rsidR="00E75FF4">
        <w:t>opportunities.</w:t>
      </w:r>
    </w:p>
    <w:p w:rsidR="001A0F23" w:rsidRDefault="00532959" w:rsidP="00A81CA3">
      <w:pPr>
        <w:pStyle w:val="Heading2"/>
      </w:pPr>
      <w:r>
        <w:t>School Assessment</w:t>
      </w:r>
    </w:p>
    <w:p w:rsidR="001A0F23" w:rsidRPr="00CD32DE" w:rsidRDefault="001A0F23" w:rsidP="001A0F23">
      <w:pPr>
        <w:pStyle w:val="AssessmentTypeHeading"/>
      </w:pPr>
      <w:r w:rsidRPr="00CD32DE">
        <w:t xml:space="preserve">Assessment Type 1: </w:t>
      </w:r>
      <w:r w:rsidR="008621DC" w:rsidRPr="00A8612A">
        <w:t>F</w:t>
      </w:r>
      <w:r w:rsidR="00D972F0">
        <w:t>olio</w:t>
      </w:r>
    </w:p>
    <w:p w:rsidR="00287FAC" w:rsidRDefault="00287FAC" w:rsidP="00D972F0">
      <w:pPr>
        <w:pStyle w:val="BodyText1"/>
      </w:pPr>
      <w:r w:rsidRPr="00D972F0">
        <w:t>For this assessment type, students</w:t>
      </w:r>
      <w:r w:rsidR="00627A66">
        <w:t xml:space="preserve"> undertaking the 20-credit subject</w:t>
      </w:r>
      <w:r w:rsidRPr="00D972F0">
        <w:t xml:space="preserve"> are expected to complete </w:t>
      </w:r>
      <w:r w:rsidR="000C2365">
        <w:t>a</w:t>
      </w:r>
      <w:r w:rsidRPr="00D972F0">
        <w:t xml:space="preserve">ssessments designed to address the Industry and Work Knowledge </w:t>
      </w:r>
      <w:r w:rsidR="00627A66">
        <w:t>area of study (</w:t>
      </w:r>
      <w:r w:rsidRPr="00D972F0">
        <w:t xml:space="preserve">Topics </w:t>
      </w:r>
      <w:r w:rsidR="00627A66">
        <w:t xml:space="preserve">1 to 5) </w:t>
      </w:r>
      <w:r w:rsidR="009D1773">
        <w:t>described</w:t>
      </w:r>
      <w:r w:rsidRPr="00D972F0">
        <w:t xml:space="preserve"> in the subject outline.</w:t>
      </w:r>
      <w:r w:rsidR="00627A66">
        <w:t xml:space="preserve"> </w:t>
      </w:r>
      <w:r w:rsidRPr="00D972F0">
        <w:t>It is important to note that for the 10</w:t>
      </w:r>
      <w:r w:rsidR="00627A66">
        <w:t>-c</w:t>
      </w:r>
      <w:r w:rsidRPr="00D972F0">
        <w:t xml:space="preserve">redit </w:t>
      </w:r>
      <w:r w:rsidR="00627A66">
        <w:t>subject</w:t>
      </w:r>
      <w:r w:rsidRPr="00D972F0">
        <w:t xml:space="preserve">, students must undertake at least one </w:t>
      </w:r>
      <w:r w:rsidR="00627A66">
        <w:t>f</w:t>
      </w:r>
      <w:r w:rsidRPr="00D972F0">
        <w:t xml:space="preserve">olio </w:t>
      </w:r>
      <w:r w:rsidR="000C2365">
        <w:t>a</w:t>
      </w:r>
      <w:r w:rsidRPr="00D972F0">
        <w:t>ssessment task and it must come from Topic 5: Negotiated Topics.</w:t>
      </w:r>
    </w:p>
    <w:p w:rsidR="00D32C25" w:rsidRPr="00D972F0" w:rsidRDefault="00D32C25" w:rsidP="00D32C25">
      <w:pPr>
        <w:pStyle w:val="BodyText1"/>
      </w:pPr>
      <w:r w:rsidRPr="00D972F0">
        <w:t xml:space="preserve">Students provide evidence of their learning in relation to the </w:t>
      </w:r>
      <w:r>
        <w:t>a</w:t>
      </w:r>
      <w:r w:rsidRPr="00D972F0">
        <w:t xml:space="preserve">ssessment </w:t>
      </w:r>
      <w:r>
        <w:t>d</w:t>
      </w:r>
      <w:r w:rsidRPr="00D972F0">
        <w:t xml:space="preserve">esign </w:t>
      </w:r>
      <w:r>
        <w:t>c</w:t>
      </w:r>
      <w:r w:rsidRPr="00D972F0">
        <w:t>riteria of:</w:t>
      </w:r>
    </w:p>
    <w:p w:rsidR="00D32C25" w:rsidRPr="00CC47C4" w:rsidRDefault="00D32C25" w:rsidP="00D32C25">
      <w:pPr>
        <w:pStyle w:val="dotpoints"/>
        <w:numPr>
          <w:ilvl w:val="0"/>
          <w:numId w:val="18"/>
        </w:numPr>
        <w:tabs>
          <w:tab w:val="num" w:pos="360"/>
        </w:tabs>
        <w:ind w:left="360"/>
      </w:pPr>
      <w:r w:rsidRPr="00CC47C4">
        <w:t>knowledge and understanding</w:t>
      </w:r>
    </w:p>
    <w:p w:rsidR="00D32C25" w:rsidRPr="00CC47C4" w:rsidRDefault="00D32C25" w:rsidP="00D32C25">
      <w:pPr>
        <w:pStyle w:val="dotpoints"/>
        <w:numPr>
          <w:ilvl w:val="0"/>
          <w:numId w:val="18"/>
        </w:numPr>
        <w:tabs>
          <w:tab w:val="num" w:pos="360"/>
        </w:tabs>
        <w:ind w:left="360"/>
      </w:pPr>
      <w:r w:rsidRPr="00CC47C4">
        <w:t>investigation and analysis</w:t>
      </w:r>
    </w:p>
    <w:p w:rsidR="00D32C25" w:rsidRPr="00CC47C4" w:rsidRDefault="00D32C25" w:rsidP="00D32C25">
      <w:pPr>
        <w:pStyle w:val="dotpoints"/>
        <w:numPr>
          <w:ilvl w:val="0"/>
          <w:numId w:val="18"/>
        </w:numPr>
        <w:tabs>
          <w:tab w:val="num" w:pos="360"/>
        </w:tabs>
        <w:ind w:left="360"/>
      </w:pPr>
      <w:proofErr w:type="gramStart"/>
      <w:r w:rsidRPr="00CC47C4">
        <w:t>reflection</w:t>
      </w:r>
      <w:proofErr w:type="gramEnd"/>
      <w:r w:rsidRPr="00CC47C4">
        <w:t xml:space="preserve"> and evaluation</w:t>
      </w:r>
      <w:r w:rsidR="00372D5E">
        <w:t>.</w:t>
      </w:r>
    </w:p>
    <w:p w:rsidR="00016EFA" w:rsidRDefault="00016EFA" w:rsidP="001A0F23">
      <w:pPr>
        <w:pStyle w:val="BodyText1"/>
      </w:pPr>
      <w:r w:rsidRPr="00D972F0">
        <w:t xml:space="preserve">Folio tasks were, once again, generally well suited to the student </w:t>
      </w:r>
      <w:r w:rsidR="00627A66">
        <w:t>groups</w:t>
      </w:r>
      <w:r w:rsidRPr="00D972F0">
        <w:t xml:space="preserve"> they were designed for. It was also pleasing to see tasks designed or adapted using the subject operational </w:t>
      </w:r>
      <w:r w:rsidR="000C2365">
        <w:t>information</w:t>
      </w:r>
      <w:r w:rsidRPr="00D972F0">
        <w:t xml:space="preserve"> or exemplar material from the </w:t>
      </w:r>
      <w:r w:rsidR="000C2365">
        <w:t>Workplace Practices</w:t>
      </w:r>
      <w:r w:rsidRPr="00D972F0">
        <w:t xml:space="preserve"> minisite. It is important to note that </w:t>
      </w:r>
      <w:r>
        <w:t>w</w:t>
      </w:r>
      <w:r w:rsidRPr="00016EFA">
        <w:t>hen</w:t>
      </w:r>
      <w:r>
        <w:t xml:space="preserve"> </w:t>
      </w:r>
      <w:r w:rsidR="00627A66">
        <w:t>f</w:t>
      </w:r>
      <w:r>
        <w:t xml:space="preserve">olio </w:t>
      </w:r>
      <w:r w:rsidRPr="00016EFA">
        <w:t xml:space="preserve">tasks </w:t>
      </w:r>
      <w:r w:rsidR="00627A66">
        <w:t>were</w:t>
      </w:r>
      <w:r w:rsidR="000C2365">
        <w:t xml:space="preserve"> designed to </w:t>
      </w:r>
      <w:r w:rsidRPr="00016EFA">
        <w:t>asses</w:t>
      </w:r>
      <w:r>
        <w:t>s</w:t>
      </w:r>
      <w:r w:rsidRPr="00016EFA">
        <w:t xml:space="preserve"> </w:t>
      </w:r>
      <w:r>
        <w:t xml:space="preserve">every </w:t>
      </w:r>
      <w:r w:rsidR="000C2365">
        <w:t xml:space="preserve">specific feature of all three </w:t>
      </w:r>
      <w:r>
        <w:t xml:space="preserve">of the </w:t>
      </w:r>
      <w:r w:rsidR="000C2365">
        <w:t>assessment design criteria</w:t>
      </w:r>
      <w:r>
        <w:t xml:space="preserve">, </w:t>
      </w:r>
      <w:r w:rsidRPr="00016EFA">
        <w:t xml:space="preserve">students </w:t>
      </w:r>
      <w:r>
        <w:t xml:space="preserve">had </w:t>
      </w:r>
      <w:r w:rsidRPr="00016EFA">
        <w:t xml:space="preserve">difficulty achieving </w:t>
      </w:r>
      <w:r>
        <w:t xml:space="preserve">to a high standard as there was not sufficient evidence of comprehensive engagement </w:t>
      </w:r>
      <w:r w:rsidR="000C2365">
        <w:t>with all of the specific features</w:t>
      </w:r>
      <w:r>
        <w:t xml:space="preserve">. Similarly, it is also important to note that </w:t>
      </w:r>
      <w:r w:rsidR="000C2365">
        <w:t xml:space="preserve">the subject outline does not require the </w:t>
      </w:r>
      <w:r w:rsidR="00EC7103">
        <w:t>a</w:t>
      </w:r>
      <w:r w:rsidR="000C2365">
        <w:t>pplication assessment design criteri</w:t>
      </w:r>
      <w:r w:rsidR="00EC7103">
        <w:t>on</w:t>
      </w:r>
      <w:r w:rsidR="000C2365">
        <w:t xml:space="preserve"> to be assessed</w:t>
      </w:r>
      <w:r>
        <w:t xml:space="preserve"> in the </w:t>
      </w:r>
      <w:r w:rsidR="00EC7103">
        <w:t>f</w:t>
      </w:r>
      <w:r>
        <w:t>olio.</w:t>
      </w:r>
    </w:p>
    <w:p w:rsidR="00D05BBA" w:rsidRDefault="00E672A4" w:rsidP="00D05BBA">
      <w:pPr>
        <w:pStyle w:val="BodyText1"/>
      </w:pPr>
      <w:r>
        <w:t>Other</w:t>
      </w:r>
      <w:r w:rsidR="00D05BBA">
        <w:t xml:space="preserve"> important point</w:t>
      </w:r>
      <w:r>
        <w:t>s</w:t>
      </w:r>
      <w:r w:rsidR="00D05BBA">
        <w:t xml:space="preserve"> to note </w:t>
      </w:r>
      <w:r>
        <w:t>are</w:t>
      </w:r>
      <w:r w:rsidR="00D05BBA">
        <w:t xml:space="preserve"> that students are not advantaged by completing more </w:t>
      </w:r>
      <w:r w:rsidR="00EC7103">
        <w:t>f</w:t>
      </w:r>
      <w:r w:rsidR="000C2365">
        <w:t>olio tasks than necessary (</w:t>
      </w:r>
      <w:r w:rsidR="00EC7103">
        <w:t>that is,</w:t>
      </w:r>
      <w:r w:rsidR="000C2365">
        <w:t xml:space="preserve"> more than three </w:t>
      </w:r>
      <w:r w:rsidR="00EC7103">
        <w:t>f</w:t>
      </w:r>
      <w:r w:rsidR="000C2365">
        <w:t>olio tasks for a 20</w:t>
      </w:r>
      <w:r w:rsidR="00EC7103">
        <w:noBreakHyphen/>
      </w:r>
      <w:r w:rsidR="000C2365">
        <w:t>credit subject</w:t>
      </w:r>
      <w:r>
        <w:t xml:space="preserve">), and that </w:t>
      </w:r>
      <w:r w:rsidR="00D05BBA">
        <w:t>word</w:t>
      </w:r>
      <w:r w:rsidR="00EC7103">
        <w:t>-</w:t>
      </w:r>
      <w:r w:rsidR="00D05BBA">
        <w:t xml:space="preserve">count is not a </w:t>
      </w:r>
      <w:r>
        <w:t>criteri</w:t>
      </w:r>
      <w:r w:rsidR="00EC7103">
        <w:t>on</w:t>
      </w:r>
      <w:r>
        <w:t xml:space="preserve"> against which students should be </w:t>
      </w:r>
      <w:r>
        <w:lastRenderedPageBreak/>
        <w:t>assessed. At times, w</w:t>
      </w:r>
      <w:r w:rsidR="00D05BBA">
        <w:t>ord</w:t>
      </w:r>
      <w:r w:rsidR="00EC7103">
        <w:t>-</w:t>
      </w:r>
      <w:r w:rsidR="00D05BBA">
        <w:t xml:space="preserve">limits </w:t>
      </w:r>
      <w:r>
        <w:t>were observed to</w:t>
      </w:r>
      <w:r w:rsidR="00D05BBA">
        <w:t xml:space="preserve"> limit students’ opportunities to achieve well against </w:t>
      </w:r>
      <w:r>
        <w:t>p</w:t>
      </w:r>
      <w:r w:rsidR="00D05BBA">
        <w:t xml:space="preserve">erformance </w:t>
      </w:r>
      <w:r>
        <w:t>s</w:t>
      </w:r>
      <w:r w:rsidR="00D05BBA">
        <w:t xml:space="preserve">tandards. Similarly, overly scaffolded tasks with multiple steps may </w:t>
      </w:r>
      <w:r w:rsidR="00EC7103">
        <w:t>disadvantage</w:t>
      </w:r>
      <w:r w:rsidR="00D05BBA">
        <w:t xml:space="preserve"> students </w:t>
      </w:r>
      <w:r w:rsidR="00EC7103">
        <w:t>who</w:t>
      </w:r>
      <w:r w:rsidR="00D05BBA">
        <w:t xml:space="preserve"> do not complete every step.</w:t>
      </w:r>
    </w:p>
    <w:p w:rsidR="00D05BBA" w:rsidRDefault="00E672A4" w:rsidP="001A0F23">
      <w:pPr>
        <w:pStyle w:val="BodyText1"/>
      </w:pPr>
      <w:r>
        <w:t xml:space="preserve">Where schools designed their suite of </w:t>
      </w:r>
      <w:r w:rsidR="00EC7103">
        <w:t>f</w:t>
      </w:r>
      <w:r>
        <w:t xml:space="preserve">olio tasks to </w:t>
      </w:r>
      <w:r w:rsidR="00A51261">
        <w:t>encourage reflection and self-evaluation</w:t>
      </w:r>
      <w:r w:rsidR="00287FAC">
        <w:t xml:space="preserve"> in more than one task</w:t>
      </w:r>
      <w:r>
        <w:t>,</w:t>
      </w:r>
      <w:r w:rsidR="00A51261">
        <w:t xml:space="preserve"> students </w:t>
      </w:r>
      <w:r>
        <w:t xml:space="preserve">were able to </w:t>
      </w:r>
      <w:r w:rsidR="00A51261">
        <w:t xml:space="preserve">perform at a </w:t>
      </w:r>
      <w:r w:rsidR="00287FAC">
        <w:t xml:space="preserve">consistently </w:t>
      </w:r>
      <w:r w:rsidR="00A51261">
        <w:t xml:space="preserve">higher standard. It </w:t>
      </w:r>
      <w:r>
        <w:t>is therefore recommended</w:t>
      </w:r>
      <w:r w:rsidR="00A51261">
        <w:t xml:space="preserve"> to </w:t>
      </w:r>
      <w:r w:rsidR="002251CC">
        <w:t>incorporate</w:t>
      </w:r>
      <w:r w:rsidR="00A51261">
        <w:t xml:space="preserve"> </w:t>
      </w:r>
      <w:r w:rsidR="00016EFA">
        <w:t xml:space="preserve">the </w:t>
      </w:r>
      <w:r w:rsidR="00EC7103">
        <w:t>r</w:t>
      </w:r>
      <w:r w:rsidR="00016EFA">
        <w:t xml:space="preserve">eflection and </w:t>
      </w:r>
      <w:r w:rsidR="00EC7103">
        <w:t>e</w:t>
      </w:r>
      <w:r w:rsidR="00016EFA">
        <w:t>valuation</w:t>
      </w:r>
      <w:r w:rsidR="00A51261">
        <w:t xml:space="preserve"> </w:t>
      </w:r>
      <w:r>
        <w:t xml:space="preserve">assessment design </w:t>
      </w:r>
      <w:r w:rsidR="00A51261">
        <w:t>criteri</w:t>
      </w:r>
      <w:r w:rsidR="00EC7103">
        <w:t>on</w:t>
      </w:r>
      <w:r w:rsidR="00A51261">
        <w:t xml:space="preserve"> </w:t>
      </w:r>
      <w:r w:rsidR="002251CC">
        <w:t>in</w:t>
      </w:r>
      <w:r w:rsidR="00A51261">
        <w:t xml:space="preserve"> more than one task</w:t>
      </w:r>
      <w:r w:rsidR="00016EFA">
        <w:t>, although it does not need to be addressed in every task.</w:t>
      </w:r>
    </w:p>
    <w:p w:rsidR="00D05BBA" w:rsidRDefault="00E672A4" w:rsidP="001A0F23">
      <w:pPr>
        <w:pStyle w:val="BodyText1"/>
      </w:pPr>
      <w:r>
        <w:t>For example, some schools designed a</w:t>
      </w:r>
      <w:r w:rsidR="00016EFA">
        <w:t xml:space="preserve"> Finding Employment </w:t>
      </w:r>
      <w:r w:rsidR="00EC7103">
        <w:t>f</w:t>
      </w:r>
      <w:r w:rsidR="00016EFA">
        <w:t>olio task</w:t>
      </w:r>
      <w:r>
        <w:t xml:space="preserve"> a</w:t>
      </w:r>
      <w:r w:rsidR="00D05BBA">
        <w:t xml:space="preserve">sking students to create a brochure, or to produce only a </w:t>
      </w:r>
      <w:r w:rsidR="00EC7103">
        <w:t>ré</w:t>
      </w:r>
      <w:r w:rsidR="00D05BBA">
        <w:t>sum</w:t>
      </w:r>
      <w:r w:rsidR="00EC7103">
        <w:t>é</w:t>
      </w:r>
      <w:r w:rsidR="00D05BBA">
        <w:t xml:space="preserve"> and </w:t>
      </w:r>
      <w:r w:rsidR="00EC7103">
        <w:t>c</w:t>
      </w:r>
      <w:r w:rsidR="00D05BBA">
        <w:t xml:space="preserve">over </w:t>
      </w:r>
      <w:r w:rsidR="00EC7103">
        <w:t>l</w:t>
      </w:r>
      <w:r w:rsidR="00D05BBA">
        <w:t>etter</w:t>
      </w:r>
      <w:r>
        <w:t>.</w:t>
      </w:r>
      <w:r w:rsidR="00627A66">
        <w:t xml:space="preserve"> </w:t>
      </w:r>
      <w:r>
        <w:t xml:space="preserve">These instances often </w:t>
      </w:r>
      <w:r w:rsidR="00D05BBA">
        <w:t xml:space="preserve">limited </w:t>
      </w:r>
      <w:r>
        <w:t>th</w:t>
      </w:r>
      <w:r w:rsidR="00D05BBA">
        <w:t xml:space="preserve">e students’ ability to address </w:t>
      </w:r>
      <w:r>
        <w:t xml:space="preserve">the </w:t>
      </w:r>
      <w:r w:rsidR="00D05BBA">
        <w:t>criteria at a satisfactory standard or higher</w:t>
      </w:r>
      <w:r w:rsidR="00EC7103">
        <w:t>,</w:t>
      </w:r>
      <w:r w:rsidR="00D05BBA">
        <w:t xml:space="preserve"> as they were merely paraphrasing information</w:t>
      </w:r>
      <w:r>
        <w:t xml:space="preserve"> without addressing the </w:t>
      </w:r>
      <w:r w:rsidR="00EC7103">
        <w:t>r</w:t>
      </w:r>
      <w:r>
        <w:t xml:space="preserve">eflection and </w:t>
      </w:r>
      <w:r w:rsidR="00EC7103">
        <w:t>e</w:t>
      </w:r>
      <w:r>
        <w:t>valuation criteri</w:t>
      </w:r>
      <w:r w:rsidR="00EC7103">
        <w:t>on</w:t>
      </w:r>
      <w:r>
        <w:t xml:space="preserve"> or showing analysis of their knowledge and</w:t>
      </w:r>
      <w:r w:rsidR="00627A66">
        <w:t xml:space="preserve"> </w:t>
      </w:r>
      <w:r>
        <w:t>information</w:t>
      </w:r>
      <w:r w:rsidR="00D05BBA">
        <w:t xml:space="preserve">. This also reflects the importance of allowing students to do more than merely regurgitate factual information or complete simple tasks. This is also true for similar tasks undertaken for </w:t>
      </w:r>
      <w:r w:rsidR="009D1773">
        <w:t xml:space="preserve">the </w:t>
      </w:r>
      <w:r w:rsidR="00D05BBA">
        <w:t>Industrial Relations</w:t>
      </w:r>
      <w:r w:rsidR="009D1773">
        <w:t xml:space="preserve"> topic</w:t>
      </w:r>
      <w:r w:rsidR="00D05BBA">
        <w:t>.</w:t>
      </w:r>
      <w:bookmarkStart w:id="0" w:name="_GoBack"/>
      <w:bookmarkEnd w:id="0"/>
    </w:p>
    <w:p w:rsidR="00D05BBA" w:rsidRDefault="00D05BBA" w:rsidP="00D05BBA">
      <w:pPr>
        <w:pStyle w:val="BodyText1"/>
      </w:pPr>
      <w:r>
        <w:t>Overall, s</w:t>
      </w:r>
      <w:r w:rsidR="00016EFA">
        <w:t>tudents performed better when asked to interact with, analyse, question</w:t>
      </w:r>
      <w:r w:rsidR="002251CC">
        <w:t>,</w:t>
      </w:r>
      <w:r w:rsidR="00016EFA">
        <w:t xml:space="preserve"> and reflect on the information that they discover in relation to the world of work.</w:t>
      </w:r>
      <w:r>
        <w:t xml:space="preserve"> This is also true of tasks that allowed for students to extend and show their </w:t>
      </w:r>
      <w:r w:rsidR="00EC7103">
        <w:t>u</w:t>
      </w:r>
      <w:r>
        <w:t xml:space="preserve">nderstanding, </w:t>
      </w:r>
      <w:r w:rsidR="00EC7103">
        <w:t>and i</w:t>
      </w:r>
      <w:r>
        <w:t xml:space="preserve">nvestigation and </w:t>
      </w:r>
      <w:r w:rsidR="00EC7103">
        <w:t>a</w:t>
      </w:r>
      <w:r>
        <w:t>nalysis, where they were able to perform to a higher standard</w:t>
      </w:r>
      <w:r w:rsidR="00D972F0">
        <w:t>.</w:t>
      </w:r>
    </w:p>
    <w:p w:rsidR="00A51261" w:rsidRDefault="00D05BBA" w:rsidP="001A0F23">
      <w:pPr>
        <w:pStyle w:val="BodyText1"/>
      </w:pPr>
      <w:r>
        <w:t>M</w:t>
      </w:r>
      <w:r w:rsidR="00A51261">
        <w:t>any school</w:t>
      </w:r>
      <w:r w:rsidR="00544E52">
        <w:t>s</w:t>
      </w:r>
      <w:r w:rsidR="00A51261">
        <w:t xml:space="preserve"> chose to do Negotiated Topics which</w:t>
      </w:r>
      <w:r w:rsidR="00544E52">
        <w:t>,</w:t>
      </w:r>
      <w:r w:rsidR="00A51261">
        <w:t xml:space="preserve"> when well-designed</w:t>
      </w:r>
      <w:r w:rsidR="00544E52">
        <w:t>,</w:t>
      </w:r>
      <w:r w:rsidR="00A51261">
        <w:t xml:space="preserve"> enabled students to address issues and concepts most relevant to them and their industries.</w:t>
      </w:r>
    </w:p>
    <w:p w:rsidR="00CD2830" w:rsidRPr="00D972F0" w:rsidRDefault="00CD2830" w:rsidP="00D972F0">
      <w:pPr>
        <w:pStyle w:val="BodyText1"/>
      </w:pPr>
      <w:r w:rsidRPr="00D972F0">
        <w:t xml:space="preserve">Finally, when providing evidence of student learning to moderators, it is essential that teachers include evidence of their assessment decisions. This can include work with comments, shaded </w:t>
      </w:r>
      <w:r w:rsidR="00EC7103">
        <w:t>p</w:t>
      </w:r>
      <w:r w:rsidRPr="00D972F0">
        <w:t xml:space="preserve">erformance </w:t>
      </w:r>
      <w:r w:rsidR="00EC7103">
        <w:t>s</w:t>
      </w:r>
      <w:r w:rsidRPr="00D972F0">
        <w:t>tandards</w:t>
      </w:r>
      <w:r w:rsidR="009D1773">
        <w:t>,</w:t>
      </w:r>
      <w:r w:rsidRPr="00D972F0">
        <w:t xml:space="preserve"> and overall comments with a final assessment decision.</w:t>
      </w:r>
      <w:r w:rsidR="00627A66">
        <w:t xml:space="preserve"> </w:t>
      </w:r>
      <w:r w:rsidRPr="00D972F0">
        <w:t>Where no teacher interaction with the work was evident, it was often difficult for moderators to confirm the assessment decisions.</w:t>
      </w:r>
    </w:p>
    <w:p w:rsidR="001A0F23" w:rsidRDefault="001A0F23" w:rsidP="001A0F23">
      <w:pPr>
        <w:pStyle w:val="AssessmentTypeHeading"/>
      </w:pPr>
      <w:r w:rsidRPr="003C7581">
        <w:t xml:space="preserve">Assessment Type 2: </w:t>
      </w:r>
      <w:r w:rsidR="00D71030">
        <w:t>Performance</w:t>
      </w:r>
    </w:p>
    <w:p w:rsidR="00CD2830" w:rsidRDefault="00CD2830" w:rsidP="00D972F0">
      <w:pPr>
        <w:pStyle w:val="BodyText1"/>
      </w:pPr>
      <w:r w:rsidRPr="00D972F0">
        <w:t xml:space="preserve">Performance is the assessment of each student’s learning in and about the </w:t>
      </w:r>
      <w:r w:rsidR="00544E52">
        <w:t>w</w:t>
      </w:r>
      <w:r w:rsidRPr="00D972F0">
        <w:t xml:space="preserve">orkplace. For students to be successful in this </w:t>
      </w:r>
      <w:r w:rsidR="00544E52">
        <w:t>a</w:t>
      </w:r>
      <w:r w:rsidRPr="00D972F0">
        <w:t xml:space="preserve">ssessment </w:t>
      </w:r>
      <w:r w:rsidR="00544E52">
        <w:t>t</w:t>
      </w:r>
      <w:r w:rsidRPr="00D972F0">
        <w:t>ype, they must have completed at least 50</w:t>
      </w:r>
      <w:r w:rsidR="00EC7103">
        <w:t>–</w:t>
      </w:r>
      <w:r w:rsidRPr="00D972F0">
        <w:t>60 hours for the 20</w:t>
      </w:r>
      <w:r w:rsidR="00544E52">
        <w:t>-c</w:t>
      </w:r>
      <w:r w:rsidRPr="00D972F0">
        <w:t xml:space="preserve">redit </w:t>
      </w:r>
      <w:r w:rsidR="00EC7103">
        <w:t>subject</w:t>
      </w:r>
      <w:r w:rsidR="00544E52">
        <w:t xml:space="preserve">, </w:t>
      </w:r>
      <w:r w:rsidRPr="00D972F0">
        <w:t>and 25–30 hours for the</w:t>
      </w:r>
      <w:r w:rsidR="00D972F0" w:rsidRPr="00D972F0">
        <w:t xml:space="preserve"> 10</w:t>
      </w:r>
      <w:r w:rsidR="009D1773">
        <w:noBreakHyphen/>
      </w:r>
      <w:r w:rsidR="00544E52">
        <w:t>c</w:t>
      </w:r>
      <w:r w:rsidR="00D972F0" w:rsidRPr="00D972F0">
        <w:t xml:space="preserve">redit </w:t>
      </w:r>
      <w:r w:rsidR="00EC7103">
        <w:t>subject</w:t>
      </w:r>
      <w:r w:rsidR="00D972F0" w:rsidRPr="00D972F0">
        <w:t>.</w:t>
      </w:r>
    </w:p>
    <w:p w:rsidR="00D32C25" w:rsidRPr="00D972F0" w:rsidRDefault="00D32C25" w:rsidP="00D32C25">
      <w:pPr>
        <w:pStyle w:val="BodyText1"/>
      </w:pPr>
      <w:r w:rsidRPr="00D972F0">
        <w:t xml:space="preserve">Students provide evidence of their learning in relation to the </w:t>
      </w:r>
      <w:r>
        <w:t>a</w:t>
      </w:r>
      <w:r w:rsidRPr="00D972F0">
        <w:t xml:space="preserve">ssessment </w:t>
      </w:r>
      <w:r>
        <w:t>d</w:t>
      </w:r>
      <w:r w:rsidRPr="00D972F0">
        <w:t xml:space="preserve">esign </w:t>
      </w:r>
      <w:r>
        <w:t>c</w:t>
      </w:r>
      <w:r w:rsidRPr="00D972F0">
        <w:t>riteria of:</w:t>
      </w:r>
    </w:p>
    <w:p w:rsidR="00D32C25" w:rsidRPr="00CC47C4" w:rsidRDefault="00D32C25" w:rsidP="00D32C25">
      <w:pPr>
        <w:pStyle w:val="dotpoints"/>
        <w:numPr>
          <w:ilvl w:val="0"/>
          <w:numId w:val="18"/>
        </w:numPr>
        <w:tabs>
          <w:tab w:val="num" w:pos="360"/>
        </w:tabs>
        <w:ind w:left="360"/>
      </w:pPr>
      <w:r w:rsidRPr="00CC47C4">
        <w:t>knowledge and understanding</w:t>
      </w:r>
    </w:p>
    <w:p w:rsidR="00D32C25" w:rsidRPr="00CC47C4" w:rsidRDefault="00D32C25" w:rsidP="00D32C25">
      <w:pPr>
        <w:pStyle w:val="dotpoints"/>
        <w:numPr>
          <w:ilvl w:val="0"/>
          <w:numId w:val="18"/>
        </w:numPr>
        <w:tabs>
          <w:tab w:val="num" w:pos="360"/>
        </w:tabs>
        <w:ind w:left="360"/>
      </w:pPr>
      <w:proofErr w:type="gramStart"/>
      <w:r>
        <w:t>application</w:t>
      </w:r>
      <w:proofErr w:type="gramEnd"/>
      <w:r w:rsidR="00372D5E">
        <w:t>.</w:t>
      </w:r>
    </w:p>
    <w:p w:rsidR="00544E52" w:rsidRDefault="00544E52" w:rsidP="00544E52">
      <w:pPr>
        <w:pStyle w:val="BodyText1"/>
      </w:pPr>
      <w:r>
        <w:t xml:space="preserve">There are three aspects to </w:t>
      </w:r>
      <w:r w:rsidR="00EC7103">
        <w:t>A</w:t>
      </w:r>
      <w:r>
        <w:t xml:space="preserve">ssessment </w:t>
      </w:r>
      <w:r w:rsidR="00EC7103">
        <w:t>T</w:t>
      </w:r>
      <w:r>
        <w:t>ype 2: Performance:</w:t>
      </w:r>
    </w:p>
    <w:p w:rsidR="00F37DE2" w:rsidRDefault="00CD2830" w:rsidP="00544E52">
      <w:pPr>
        <w:pStyle w:val="BodyText1"/>
        <w:numPr>
          <w:ilvl w:val="0"/>
          <w:numId w:val="16"/>
        </w:numPr>
      </w:pPr>
      <w:r w:rsidRPr="00CC47C4">
        <w:rPr>
          <w:b/>
        </w:rPr>
        <w:t>Student</w:t>
      </w:r>
      <w:r w:rsidR="006E5D6A" w:rsidRPr="00CC47C4">
        <w:rPr>
          <w:b/>
        </w:rPr>
        <w:t xml:space="preserve"> evidence of learning</w:t>
      </w:r>
      <w:r w:rsidR="009D1773">
        <w:rPr>
          <w:b/>
        </w:rPr>
        <w:br/>
      </w:r>
      <w:proofErr w:type="gramStart"/>
      <w:r w:rsidR="008A5BDE">
        <w:t>This</w:t>
      </w:r>
      <w:proofErr w:type="gramEnd"/>
      <w:r w:rsidR="006E5D6A" w:rsidRPr="00CC47C4">
        <w:t xml:space="preserve"> may include, for example, a written journal, a record of workplace and/or training events, photo stories, and/or video and audio recordings</w:t>
      </w:r>
      <w:r w:rsidR="00F37DE2" w:rsidRPr="00CC47C4">
        <w:t xml:space="preserve">. Students performing well in this area were </w:t>
      </w:r>
      <w:r w:rsidR="009D1773">
        <w:t>often</w:t>
      </w:r>
      <w:r w:rsidR="00F37DE2" w:rsidRPr="00CC47C4">
        <w:t xml:space="preserve"> provided with guidance by the teacher, such as a work</w:t>
      </w:r>
      <w:r w:rsidR="008A5BDE">
        <w:t>-</w:t>
      </w:r>
      <w:r w:rsidR="00F37DE2" w:rsidRPr="00CC47C4">
        <w:t>log template, but overly structured journals generally did not allow students to meet the higher performance standards.</w:t>
      </w:r>
    </w:p>
    <w:p w:rsidR="00D32C25" w:rsidRDefault="00D32C25" w:rsidP="00544E52">
      <w:pPr>
        <w:pStyle w:val="BodyText1"/>
        <w:ind w:left="360"/>
        <w:rPr>
          <w:b/>
        </w:rPr>
      </w:pPr>
    </w:p>
    <w:p w:rsidR="00544E52" w:rsidRPr="00CC47C4" w:rsidRDefault="00544E52" w:rsidP="00544E52">
      <w:pPr>
        <w:pStyle w:val="BodyText1"/>
        <w:ind w:left="360"/>
      </w:pPr>
      <w:r>
        <w:rPr>
          <w:b/>
        </w:rPr>
        <w:lastRenderedPageBreak/>
        <w:t>AND</w:t>
      </w:r>
    </w:p>
    <w:p w:rsidR="00F37DE2" w:rsidRDefault="00533FA8" w:rsidP="00544E52">
      <w:pPr>
        <w:pStyle w:val="BodyText1"/>
        <w:numPr>
          <w:ilvl w:val="0"/>
          <w:numId w:val="16"/>
        </w:numPr>
      </w:pPr>
      <w:r w:rsidRPr="00CC47C4">
        <w:rPr>
          <w:b/>
        </w:rPr>
        <w:t xml:space="preserve">Teacher’s Report on Student Performance — Vocational Learning </w:t>
      </w:r>
      <w:r w:rsidR="00805E85">
        <w:rPr>
          <w:b/>
        </w:rPr>
        <w:t>form</w:t>
      </w:r>
      <w:r w:rsidR="009D1773">
        <w:rPr>
          <w:b/>
        </w:rPr>
        <w:br/>
      </w:r>
      <w:r w:rsidR="00544E52">
        <w:rPr>
          <w:b/>
        </w:rPr>
        <w:t>OR</w:t>
      </w:r>
      <w:r w:rsidRPr="00CC47C4">
        <w:rPr>
          <w:b/>
        </w:rPr>
        <w:t xml:space="preserve"> Teacher’s Report on Student Performance — VET </w:t>
      </w:r>
      <w:r w:rsidR="00805E85">
        <w:rPr>
          <w:b/>
        </w:rPr>
        <w:t>form</w:t>
      </w:r>
      <w:r w:rsidR="009D1773">
        <w:rPr>
          <w:b/>
        </w:rPr>
        <w:br/>
      </w:r>
      <w:r w:rsidR="00B5383C" w:rsidRPr="00E554ED">
        <w:rPr>
          <w:b/>
        </w:rPr>
        <w:t xml:space="preserve">OR </w:t>
      </w:r>
      <w:r w:rsidR="00AF65CA" w:rsidRPr="00AF65CA">
        <w:rPr>
          <w:b/>
        </w:rPr>
        <w:t>Report on Performance as a Personal Carer</w:t>
      </w:r>
      <w:r w:rsidR="009D1773">
        <w:rPr>
          <w:b/>
        </w:rPr>
        <w:t xml:space="preserve"> form</w:t>
      </w:r>
      <w:r w:rsidR="009D1773">
        <w:rPr>
          <w:b/>
        </w:rPr>
        <w:br/>
      </w:r>
      <w:r w:rsidR="00AF65CA" w:rsidRPr="00AF65CA">
        <w:t>T</w:t>
      </w:r>
      <w:r w:rsidR="00805E85" w:rsidRPr="00805E85">
        <w:t>hese forms provide</w:t>
      </w:r>
      <w:r w:rsidR="006E5D6A" w:rsidRPr="00805E85">
        <w:t xml:space="preserve"> supporting evidence of </w:t>
      </w:r>
      <w:r w:rsidR="00805E85" w:rsidRPr="00805E85">
        <w:t>student</w:t>
      </w:r>
      <w:r w:rsidR="006E5D6A" w:rsidRPr="00805E85">
        <w:t xml:space="preserve"> engagement in a work-related context</w:t>
      </w:r>
      <w:r w:rsidR="00E554ED">
        <w:t xml:space="preserve"> and are</w:t>
      </w:r>
      <w:r w:rsidR="00E554ED" w:rsidRPr="00E554ED">
        <w:t xml:space="preserve"> </w:t>
      </w:r>
      <w:r w:rsidR="00E554ED" w:rsidRPr="00CC47C4">
        <w:t xml:space="preserve">fundamental to this </w:t>
      </w:r>
      <w:r w:rsidR="00E554ED">
        <w:t>a</w:t>
      </w:r>
      <w:r w:rsidR="00E554ED" w:rsidRPr="00CC47C4">
        <w:t xml:space="preserve">ssessment </w:t>
      </w:r>
      <w:r w:rsidR="00E554ED">
        <w:t>t</w:t>
      </w:r>
      <w:r w:rsidR="00E554ED" w:rsidRPr="00CC47C4">
        <w:t>ype</w:t>
      </w:r>
      <w:r w:rsidR="00F37DE2" w:rsidRPr="00805E85">
        <w:t xml:space="preserve">. </w:t>
      </w:r>
      <w:r w:rsidR="00544E52" w:rsidRPr="00805E85">
        <w:t xml:space="preserve">At least one of the </w:t>
      </w:r>
      <w:r w:rsidR="00E554ED">
        <w:t xml:space="preserve">three forms </w:t>
      </w:r>
      <w:r w:rsidR="00F37DE2" w:rsidRPr="00CC47C4">
        <w:t>must be completed for each student. These official forms allow teachers to describe exactly the context for learning</w:t>
      </w:r>
      <w:r w:rsidR="008A5BDE">
        <w:t xml:space="preserve"> and</w:t>
      </w:r>
      <w:r w:rsidR="00F37DE2" w:rsidRPr="00CC47C4">
        <w:t xml:space="preserve"> the hours completed</w:t>
      </w:r>
      <w:r w:rsidR="008A5BDE">
        <w:t>,</w:t>
      </w:r>
      <w:r w:rsidR="00F37DE2" w:rsidRPr="00CC47C4">
        <w:t xml:space="preserve"> and provide the opportunity for teachers to explain their assessment decisions. When coupled with Workplace Supervisor</w:t>
      </w:r>
      <w:r w:rsidR="00EF51B8">
        <w:t>’s</w:t>
      </w:r>
      <w:r w:rsidR="00F37DE2" w:rsidRPr="00CC47C4">
        <w:t xml:space="preserve"> Reports, these forms provide an invaluable insight into the performance of each student.</w:t>
      </w:r>
    </w:p>
    <w:p w:rsidR="00544E52" w:rsidRPr="00CC47C4" w:rsidRDefault="00544E52" w:rsidP="00372D5E">
      <w:pPr>
        <w:pStyle w:val="BodyText1"/>
        <w:ind w:left="360"/>
      </w:pPr>
      <w:r>
        <w:rPr>
          <w:b/>
        </w:rPr>
        <w:t xml:space="preserve">AND </w:t>
      </w:r>
    </w:p>
    <w:p w:rsidR="00544E52" w:rsidRPr="00544E52" w:rsidRDefault="006E5D6A" w:rsidP="00CC47C4">
      <w:pPr>
        <w:pStyle w:val="dotpoints"/>
        <w:numPr>
          <w:ilvl w:val="0"/>
          <w:numId w:val="16"/>
        </w:numPr>
        <w:tabs>
          <w:tab w:val="num" w:pos="360"/>
        </w:tabs>
      </w:pPr>
      <w:r w:rsidRPr="00CC47C4">
        <w:rPr>
          <w:b/>
        </w:rPr>
        <w:t>Workplace Supervisor’s Report</w:t>
      </w:r>
      <w:r w:rsidR="00544E52">
        <w:rPr>
          <w:b/>
        </w:rPr>
        <w:t xml:space="preserve"> (for Vocational Learning)</w:t>
      </w:r>
      <w:r w:rsidRPr="00CC47C4">
        <w:rPr>
          <w:b/>
        </w:rPr>
        <w:t xml:space="preserve"> </w:t>
      </w:r>
    </w:p>
    <w:p w:rsidR="00372D5E" w:rsidRDefault="00544E52" w:rsidP="00372D5E">
      <w:pPr>
        <w:pStyle w:val="dotpoints"/>
        <w:ind w:left="360"/>
        <w:rPr>
          <w:b/>
        </w:rPr>
      </w:pPr>
      <w:r>
        <w:rPr>
          <w:b/>
        </w:rPr>
        <w:t>OR</w:t>
      </w:r>
    </w:p>
    <w:p w:rsidR="006C05E2" w:rsidRDefault="006E5D6A" w:rsidP="00372D5E">
      <w:pPr>
        <w:pStyle w:val="dotpoints"/>
        <w:ind w:left="360"/>
      </w:pPr>
      <w:proofErr w:type="gramStart"/>
      <w:r w:rsidRPr="0089575B">
        <w:rPr>
          <w:b/>
        </w:rPr>
        <w:t>Statement of Attainment or academic record from an RTO</w:t>
      </w:r>
      <w:r w:rsidR="00544E52" w:rsidRPr="0089575B">
        <w:rPr>
          <w:b/>
        </w:rPr>
        <w:t xml:space="preserve"> (for VET)</w:t>
      </w:r>
      <w:r w:rsidR="00372D5E">
        <w:rPr>
          <w:b/>
        </w:rPr>
        <w:t>.</w:t>
      </w:r>
      <w:proofErr w:type="gramEnd"/>
      <w:r w:rsidR="0089575B">
        <w:br/>
        <w:t>The</w:t>
      </w:r>
      <w:r w:rsidR="00F37DE2" w:rsidRPr="0089575B">
        <w:t xml:space="preserve"> </w:t>
      </w:r>
      <w:r w:rsidR="00EF51B8" w:rsidRPr="0089575B">
        <w:t>S</w:t>
      </w:r>
      <w:r w:rsidR="00F37DE2" w:rsidRPr="0089575B">
        <w:t xml:space="preserve">tatement of </w:t>
      </w:r>
      <w:r w:rsidR="00EF51B8" w:rsidRPr="0089575B">
        <w:t>A</w:t>
      </w:r>
      <w:r w:rsidR="00F37DE2" w:rsidRPr="0089575B">
        <w:t>ttainment from a</w:t>
      </w:r>
      <w:r w:rsidR="00544E52" w:rsidRPr="0089575B">
        <w:t xml:space="preserve"> registered training organisation (</w:t>
      </w:r>
      <w:r w:rsidR="00F37DE2" w:rsidRPr="0089575B">
        <w:t>RTO</w:t>
      </w:r>
      <w:r w:rsidR="00544E52" w:rsidRPr="0089575B">
        <w:t>)</w:t>
      </w:r>
      <w:r w:rsidR="00F37DE2" w:rsidRPr="0089575B">
        <w:t xml:space="preserve"> must be provided in order for students to achieve at the higher levels. </w:t>
      </w:r>
      <w:r w:rsidR="00AF65CA" w:rsidRPr="00AF65CA">
        <w:t>This is in addition to the student evidence of learning outlined above. Where a Statement of Attainment was the only evidence provided to moderators, they were in many cases unable to confirm teacher assessment decisions. A signed letter from the principal detailing the VET units and the corresponding VET results will suffice if no RTO record is available.</w:t>
      </w:r>
    </w:p>
    <w:p w:rsidR="00CD2830" w:rsidRPr="00CC47C4" w:rsidRDefault="00F37DE2" w:rsidP="00CC47C4">
      <w:pPr>
        <w:pStyle w:val="BodyText1"/>
      </w:pPr>
      <w:r w:rsidRPr="00CC47C4">
        <w:t>All</w:t>
      </w:r>
      <w:r w:rsidR="006E5D6A" w:rsidRPr="00CC47C4">
        <w:t xml:space="preserve"> forms are available on the SACE website (</w:t>
      </w:r>
      <w:hyperlink r:id="rId13" w:history="1">
        <w:r w:rsidR="00CC47C4" w:rsidRPr="00BC39C0">
          <w:rPr>
            <w:rStyle w:val="Hyperlink"/>
          </w:rPr>
          <w:t>www.sace.sa.edu.au</w:t>
        </w:r>
      </w:hyperlink>
      <w:r w:rsidR="006E5D6A" w:rsidRPr="00CC47C4">
        <w:t>)</w:t>
      </w:r>
      <w:r w:rsidR="00CD2830" w:rsidRPr="00CC47C4">
        <w:t xml:space="preserve"> and it is important to note that it is a requirement that teachers use the relevant SACE forms rather than creating </w:t>
      </w:r>
      <w:r w:rsidR="00CC2D01">
        <w:t xml:space="preserve">their </w:t>
      </w:r>
      <w:r w:rsidR="00CD2830" w:rsidRPr="00CC47C4">
        <w:t>own templates.</w:t>
      </w:r>
    </w:p>
    <w:p w:rsidR="006E5D6A" w:rsidRPr="00D972F0" w:rsidRDefault="006E5D6A" w:rsidP="00D972F0">
      <w:pPr>
        <w:pStyle w:val="BodyText1"/>
      </w:pPr>
      <w:r>
        <w:t xml:space="preserve">Students were better </w:t>
      </w:r>
      <w:r w:rsidR="00371B22">
        <w:t xml:space="preserve">placed to achieve well in </w:t>
      </w:r>
      <w:r w:rsidR="008A5BDE">
        <w:t>p</w:t>
      </w:r>
      <w:r w:rsidR="00371B22">
        <w:t xml:space="preserve">erformance </w:t>
      </w:r>
      <w:r>
        <w:t>when it was clear that the required hours were undertaken. When students had obviously undertaken the required hours</w:t>
      </w:r>
      <w:r w:rsidR="00F37DE2">
        <w:t>,</w:t>
      </w:r>
      <w:r>
        <w:t xml:space="preserve"> but no </w:t>
      </w:r>
      <w:r w:rsidR="0089575B">
        <w:t>W</w:t>
      </w:r>
      <w:r>
        <w:t xml:space="preserve">orkplace </w:t>
      </w:r>
      <w:r w:rsidR="0089575B">
        <w:t>S</w:t>
      </w:r>
      <w:r>
        <w:t>upervisor</w:t>
      </w:r>
      <w:r w:rsidR="0089575B">
        <w:t>’s</w:t>
      </w:r>
      <w:r>
        <w:t xml:space="preserve"> </w:t>
      </w:r>
      <w:r w:rsidR="0089575B">
        <w:t>R</w:t>
      </w:r>
      <w:r>
        <w:t xml:space="preserve">eport was available or </w:t>
      </w:r>
      <w:r w:rsidR="00F37DE2">
        <w:t>located</w:t>
      </w:r>
      <w:r w:rsidR="00CC2D01">
        <w:t>,</w:t>
      </w:r>
      <w:r>
        <w:t xml:space="preserve"> a conversation between the teacher and employer/supervisor is sufficient and can be stated so on</w:t>
      </w:r>
      <w:r w:rsidR="0089575B">
        <w:t xml:space="preserve"> on</w:t>
      </w:r>
      <w:r w:rsidR="00E554ED">
        <w:t>e</w:t>
      </w:r>
      <w:r>
        <w:t xml:space="preserve"> </w:t>
      </w:r>
      <w:r w:rsidR="00E554ED">
        <w:t xml:space="preserve">of </w:t>
      </w:r>
      <w:r>
        <w:t xml:space="preserve">the </w:t>
      </w:r>
      <w:r w:rsidRPr="006E5D6A">
        <w:t>Teacher’s Report on Student Performance</w:t>
      </w:r>
      <w:r w:rsidR="00E554ED">
        <w:t xml:space="preserve"> forms</w:t>
      </w:r>
      <w:r>
        <w:t xml:space="preserve">. A student should not be penalised or given an </w:t>
      </w:r>
      <w:r w:rsidR="00C262E0">
        <w:t>‘</w:t>
      </w:r>
      <w:r>
        <w:t>Insufficient</w:t>
      </w:r>
      <w:r w:rsidR="00C262E0">
        <w:t xml:space="preserve">’ or very low </w:t>
      </w:r>
      <w:r>
        <w:t xml:space="preserve">grade because </w:t>
      </w:r>
      <w:r w:rsidR="00371B22">
        <w:t>the Workplace Supervisor</w:t>
      </w:r>
      <w:r w:rsidR="00E554ED">
        <w:t>’s Report</w:t>
      </w:r>
      <w:r w:rsidR="00371B22">
        <w:t xml:space="preserve"> form has not been returned by the workplace host </w:t>
      </w:r>
      <w:r w:rsidR="008A5BDE">
        <w:t>or</w:t>
      </w:r>
      <w:r w:rsidR="00371B22">
        <w:t xml:space="preserve"> employer</w:t>
      </w:r>
      <w:r>
        <w:t>.</w:t>
      </w:r>
    </w:p>
    <w:p w:rsidR="00F37DE2" w:rsidRPr="00D972F0" w:rsidRDefault="00F37DE2" w:rsidP="00D972F0">
      <w:pPr>
        <w:pStyle w:val="BodyText1"/>
      </w:pPr>
      <w:r w:rsidRPr="00D972F0">
        <w:t xml:space="preserve">It was also noted that some students were being asked to complete </w:t>
      </w:r>
      <w:r w:rsidR="00371B22">
        <w:t xml:space="preserve">more than one </w:t>
      </w:r>
      <w:r w:rsidR="008A5BDE">
        <w:t>p</w:t>
      </w:r>
      <w:r w:rsidR="00371B22">
        <w:t xml:space="preserve">erformance task, each with </w:t>
      </w:r>
      <w:r w:rsidRPr="00D972F0">
        <w:t xml:space="preserve">a significant number of hours over the </w:t>
      </w:r>
      <w:r w:rsidR="008A5BDE">
        <w:t>suggested</w:t>
      </w:r>
      <w:r w:rsidRPr="00D972F0">
        <w:t xml:space="preserve"> 50</w:t>
      </w:r>
      <w:r w:rsidR="008A5BDE">
        <w:t>–</w:t>
      </w:r>
      <w:r w:rsidRPr="00D972F0">
        <w:t xml:space="preserve">60 hours. </w:t>
      </w:r>
      <w:r w:rsidR="00371B22">
        <w:t xml:space="preserve">It appeared that some of these students </w:t>
      </w:r>
      <w:r w:rsidRPr="00D972F0">
        <w:t>were being penalised for completing only one assessment, despite the minimum hours being reached.</w:t>
      </w:r>
      <w:r w:rsidR="00627A66">
        <w:t xml:space="preserve"> </w:t>
      </w:r>
      <w:r w:rsidRPr="00D972F0">
        <w:t xml:space="preserve">In these instances, teachers are encouraged to refer to the </w:t>
      </w:r>
      <w:r w:rsidR="00371B22">
        <w:t>s</w:t>
      </w:r>
      <w:r w:rsidRPr="00D972F0">
        <w:t xml:space="preserve">ubject </w:t>
      </w:r>
      <w:r w:rsidR="00371B22">
        <w:t>o</w:t>
      </w:r>
      <w:r w:rsidRPr="00D972F0">
        <w:t xml:space="preserve">utline for clarification of the </w:t>
      </w:r>
      <w:r w:rsidR="00371B22">
        <w:t>a</w:t>
      </w:r>
      <w:r w:rsidRPr="00D972F0">
        <w:t xml:space="preserve">ssessment </w:t>
      </w:r>
      <w:r w:rsidR="00371B22">
        <w:t>scope and requirements</w:t>
      </w:r>
      <w:r w:rsidRPr="00D972F0">
        <w:t>.</w:t>
      </w:r>
    </w:p>
    <w:p w:rsidR="00F37DE2" w:rsidRPr="00D972F0" w:rsidRDefault="006E5D6A" w:rsidP="00D972F0">
      <w:pPr>
        <w:pStyle w:val="BodyText1"/>
      </w:pPr>
      <w:r>
        <w:t xml:space="preserve">Students </w:t>
      </w:r>
      <w:r w:rsidR="00F37DE2">
        <w:t>who</w:t>
      </w:r>
      <w:r>
        <w:t xml:space="preserve"> achieved at the highest </w:t>
      </w:r>
      <w:r w:rsidR="00C262E0">
        <w:t>l</w:t>
      </w:r>
      <w:r>
        <w:t xml:space="preserve">evels included their own ‘voice’ and showed their </w:t>
      </w:r>
      <w:r w:rsidR="008A5BDE">
        <w:t>k</w:t>
      </w:r>
      <w:r>
        <w:t xml:space="preserve">nowledge and </w:t>
      </w:r>
      <w:r w:rsidR="008A5BDE">
        <w:t>u</w:t>
      </w:r>
      <w:r>
        <w:t>nderstanding through a journal, photo stories</w:t>
      </w:r>
      <w:r w:rsidR="008A5BDE">
        <w:t>,</w:t>
      </w:r>
      <w:r w:rsidR="00C262E0" w:rsidRPr="00C262E0">
        <w:t xml:space="preserve"> </w:t>
      </w:r>
      <w:r w:rsidR="00C262E0">
        <w:t>or verbally</w:t>
      </w:r>
      <w:r>
        <w:t xml:space="preserve">, rather than though a reflective </w:t>
      </w:r>
      <w:r w:rsidR="00F37DE2">
        <w:t xml:space="preserve">recount </w:t>
      </w:r>
      <w:r>
        <w:t>piece</w:t>
      </w:r>
      <w:r w:rsidR="00C262E0">
        <w:t>. The</w:t>
      </w:r>
      <w:r w:rsidR="00F37DE2">
        <w:t xml:space="preserve"> best place for </w:t>
      </w:r>
      <w:r w:rsidR="008A5BDE">
        <w:t>such</w:t>
      </w:r>
      <w:r w:rsidR="00F37DE2">
        <w:t xml:space="preserve"> reflective writing is the</w:t>
      </w:r>
      <w:r w:rsidR="00C262E0">
        <w:t xml:space="preserve"> two reflec</w:t>
      </w:r>
      <w:r w:rsidR="00F37DE2">
        <w:t>tion tasks in Assessment Type 3</w:t>
      </w:r>
      <w:r w:rsidR="008A5BDE">
        <w:t>: Reflection</w:t>
      </w:r>
      <w:r w:rsidR="00F37DE2">
        <w:t xml:space="preserve">. </w:t>
      </w:r>
    </w:p>
    <w:p w:rsidR="00C262E0" w:rsidRPr="00D972F0" w:rsidRDefault="00C262E0" w:rsidP="00D972F0">
      <w:pPr>
        <w:pStyle w:val="BodyText1"/>
      </w:pPr>
      <w:r>
        <w:t xml:space="preserve">Scaffolded booklets may assist some student to include their </w:t>
      </w:r>
      <w:r w:rsidR="008A5BDE">
        <w:t>k</w:t>
      </w:r>
      <w:r>
        <w:t xml:space="preserve">nowledge and </w:t>
      </w:r>
      <w:r w:rsidR="008A5BDE">
        <w:t>u</w:t>
      </w:r>
      <w:r>
        <w:t>nderstanding</w:t>
      </w:r>
      <w:r w:rsidR="00F37DE2">
        <w:t>,</w:t>
      </w:r>
      <w:r>
        <w:t xml:space="preserve"> but </w:t>
      </w:r>
      <w:r w:rsidR="00F37DE2">
        <w:t xml:space="preserve">overly scaffolded work </w:t>
      </w:r>
      <w:r>
        <w:t xml:space="preserve">may also </w:t>
      </w:r>
      <w:r w:rsidR="00F37DE2">
        <w:t>prevent</w:t>
      </w:r>
      <w:r>
        <w:t xml:space="preserve"> </w:t>
      </w:r>
      <w:r w:rsidR="00F37DE2">
        <w:t>students</w:t>
      </w:r>
      <w:r>
        <w:t xml:space="preserve"> from achieving higher standards due to the </w:t>
      </w:r>
      <w:r w:rsidR="00F37DE2">
        <w:t>limitations of the question</w:t>
      </w:r>
      <w:r w:rsidR="00FB25E0">
        <w:t>-</w:t>
      </w:r>
      <w:r w:rsidR="00F37DE2">
        <w:t>and</w:t>
      </w:r>
      <w:r w:rsidR="00FB25E0">
        <w:t>-</w:t>
      </w:r>
      <w:r>
        <w:t xml:space="preserve">answer style. </w:t>
      </w:r>
      <w:r w:rsidR="00A909EC">
        <w:t xml:space="preserve">Journals or </w:t>
      </w:r>
      <w:r w:rsidR="008A5BDE">
        <w:t>p</w:t>
      </w:r>
      <w:r w:rsidR="00A909EC">
        <w:t xml:space="preserve">ortfolios that </w:t>
      </w:r>
      <w:r w:rsidR="00F37DE2">
        <w:t>show what students have learned and how they have applied their learning</w:t>
      </w:r>
      <w:r w:rsidR="00A909EC">
        <w:t xml:space="preserve"> allow them to achieve at higher levels.</w:t>
      </w:r>
    </w:p>
    <w:p w:rsidR="00A83741" w:rsidRPr="00D972F0" w:rsidRDefault="00A83741" w:rsidP="00D972F0">
      <w:pPr>
        <w:pStyle w:val="BodyText1"/>
      </w:pPr>
      <w:r>
        <w:lastRenderedPageBreak/>
        <w:t xml:space="preserve">For students </w:t>
      </w:r>
      <w:r w:rsidR="001169CF">
        <w:t>who</w:t>
      </w:r>
      <w:r>
        <w:t xml:space="preserve"> are </w:t>
      </w:r>
      <w:r w:rsidR="00B5383C">
        <w:t xml:space="preserve">less comfortable </w:t>
      </w:r>
      <w:r w:rsidR="001169CF">
        <w:t xml:space="preserve">with providing a written or </w:t>
      </w:r>
      <w:r w:rsidR="00F37DE2">
        <w:t xml:space="preserve">multimedia presentation, </w:t>
      </w:r>
      <w:r w:rsidR="008A5BDE">
        <w:t>k</w:t>
      </w:r>
      <w:r w:rsidR="00533FA8">
        <w:t xml:space="preserve">nowledge and </w:t>
      </w:r>
      <w:r w:rsidR="008A5BDE">
        <w:t>u</w:t>
      </w:r>
      <w:r w:rsidR="00533FA8">
        <w:t>nderstanding</w:t>
      </w:r>
      <w:r w:rsidR="008A5BDE">
        <w:t>,</w:t>
      </w:r>
      <w:r w:rsidR="00533FA8">
        <w:t xml:space="preserve"> </w:t>
      </w:r>
      <w:r w:rsidR="00F37DE2">
        <w:t xml:space="preserve">and </w:t>
      </w:r>
      <w:r w:rsidR="008A5BDE">
        <w:t>a</w:t>
      </w:r>
      <w:r w:rsidR="00F37DE2">
        <w:t xml:space="preserve">pplication </w:t>
      </w:r>
      <w:r w:rsidR="00533FA8">
        <w:t xml:space="preserve">in </w:t>
      </w:r>
      <w:r w:rsidR="008A5BDE">
        <w:t>p</w:t>
      </w:r>
      <w:r w:rsidR="00533FA8">
        <w:t>erformance can be demonstrated through conversations</w:t>
      </w:r>
      <w:r w:rsidR="00F37DE2">
        <w:t xml:space="preserve">. It is important in these situations that </w:t>
      </w:r>
      <w:r w:rsidR="00533FA8">
        <w:t xml:space="preserve">an oral recording </w:t>
      </w:r>
      <w:r w:rsidR="00F37DE2">
        <w:t xml:space="preserve">is </w:t>
      </w:r>
      <w:r w:rsidR="00533FA8">
        <w:t>submitted</w:t>
      </w:r>
      <w:r w:rsidR="00F37DE2">
        <w:t xml:space="preserve"> for confirmation purposes</w:t>
      </w:r>
      <w:r w:rsidR="00533FA8">
        <w:t>.</w:t>
      </w:r>
    </w:p>
    <w:p w:rsidR="001A0F23" w:rsidRDefault="001A0F23" w:rsidP="001A0F23">
      <w:pPr>
        <w:pStyle w:val="AssessmentTypeHeading"/>
      </w:pPr>
      <w:r w:rsidRPr="00D108CB">
        <w:t>Assessment Type 3:</w:t>
      </w:r>
      <w:r w:rsidRPr="00F02D47">
        <w:t xml:space="preserve"> </w:t>
      </w:r>
      <w:r w:rsidR="006E5D6A">
        <w:t>Reflection</w:t>
      </w:r>
    </w:p>
    <w:p w:rsidR="00F37DE2" w:rsidRPr="00D972F0" w:rsidRDefault="00F37DE2" w:rsidP="00D972F0">
      <w:pPr>
        <w:pStyle w:val="BodyText1"/>
      </w:pPr>
      <w:r w:rsidRPr="00D972F0">
        <w:t xml:space="preserve">For </w:t>
      </w:r>
      <w:r w:rsidR="00CC2D01">
        <w:t xml:space="preserve">the </w:t>
      </w:r>
      <w:r w:rsidR="008A5BDE">
        <w:t>r</w:t>
      </w:r>
      <w:r w:rsidR="00CC2D01">
        <w:t>eflection</w:t>
      </w:r>
      <w:r w:rsidRPr="00D972F0">
        <w:t xml:space="preserve"> </w:t>
      </w:r>
      <w:r w:rsidR="00CC2D01">
        <w:t>a</w:t>
      </w:r>
      <w:r w:rsidRPr="00D972F0">
        <w:t xml:space="preserve">ssessment </w:t>
      </w:r>
      <w:r w:rsidR="00CC2D01">
        <w:t>t</w:t>
      </w:r>
      <w:r w:rsidRPr="00D972F0">
        <w:t>ype, the 20</w:t>
      </w:r>
      <w:r w:rsidR="00CC2D01">
        <w:t>-</w:t>
      </w:r>
      <w:r w:rsidRPr="00D972F0">
        <w:t xml:space="preserve">credit </w:t>
      </w:r>
      <w:r w:rsidR="008A5BDE">
        <w:t>subject</w:t>
      </w:r>
      <w:r w:rsidRPr="00D972F0">
        <w:t xml:space="preserve"> must include at least </w:t>
      </w:r>
      <w:r w:rsidR="00CC2D01">
        <w:t>two</w:t>
      </w:r>
      <w:r w:rsidRPr="00D972F0">
        <w:t xml:space="preserve"> reflection tasks</w:t>
      </w:r>
      <w:r w:rsidR="00CC2D01">
        <w:t>,</w:t>
      </w:r>
      <w:r w:rsidRPr="00D972F0">
        <w:t xml:space="preserve"> and the </w:t>
      </w:r>
      <w:r w:rsidR="00CC2D01">
        <w:t xml:space="preserve">10-credit </w:t>
      </w:r>
      <w:r w:rsidR="008A5BDE">
        <w:t>sub</w:t>
      </w:r>
      <w:r w:rsidR="0089575B">
        <w:t>j</w:t>
      </w:r>
      <w:r w:rsidR="008A5BDE">
        <w:t>ect</w:t>
      </w:r>
      <w:r w:rsidRPr="00D972F0">
        <w:t xml:space="preserve"> mu</w:t>
      </w:r>
      <w:r w:rsidR="00CC2D01">
        <w:t>st</w:t>
      </w:r>
      <w:r w:rsidRPr="00D972F0">
        <w:t xml:space="preserve"> have at least one </w:t>
      </w:r>
      <w:r w:rsidR="00CC2D01">
        <w:t>r</w:t>
      </w:r>
      <w:r w:rsidRPr="00D972F0">
        <w:t xml:space="preserve">eflection task. Students provide evidence of their learning in relation to the </w:t>
      </w:r>
      <w:r w:rsidR="005879E3">
        <w:t>a</w:t>
      </w:r>
      <w:r w:rsidRPr="00D972F0">
        <w:t xml:space="preserve">ssessment </w:t>
      </w:r>
      <w:r w:rsidR="005879E3">
        <w:t>d</w:t>
      </w:r>
      <w:r w:rsidRPr="00D972F0">
        <w:t xml:space="preserve">esign </w:t>
      </w:r>
      <w:r w:rsidR="005879E3">
        <w:t>c</w:t>
      </w:r>
      <w:r w:rsidRPr="00D972F0">
        <w:t>riteria of:</w:t>
      </w:r>
    </w:p>
    <w:p w:rsidR="00F37DE2" w:rsidRPr="00CC47C4" w:rsidRDefault="00F37DE2" w:rsidP="00CC47C4">
      <w:pPr>
        <w:pStyle w:val="dotpoints"/>
        <w:numPr>
          <w:ilvl w:val="0"/>
          <w:numId w:val="18"/>
        </w:numPr>
        <w:tabs>
          <w:tab w:val="num" w:pos="360"/>
        </w:tabs>
        <w:ind w:left="360"/>
      </w:pPr>
      <w:r w:rsidRPr="00CC47C4">
        <w:t>knowledge and understanding</w:t>
      </w:r>
    </w:p>
    <w:p w:rsidR="00F37DE2" w:rsidRPr="00CC47C4" w:rsidRDefault="00F37DE2" w:rsidP="00CC47C4">
      <w:pPr>
        <w:pStyle w:val="dotpoints"/>
        <w:numPr>
          <w:ilvl w:val="0"/>
          <w:numId w:val="18"/>
        </w:numPr>
        <w:tabs>
          <w:tab w:val="num" w:pos="360"/>
        </w:tabs>
        <w:ind w:left="360"/>
      </w:pPr>
      <w:r w:rsidRPr="00CC47C4">
        <w:t>investigation and analysis</w:t>
      </w:r>
    </w:p>
    <w:p w:rsidR="00F37DE2" w:rsidRPr="00CC47C4" w:rsidRDefault="00F37DE2" w:rsidP="00CC47C4">
      <w:pPr>
        <w:pStyle w:val="dotpoints"/>
        <w:numPr>
          <w:ilvl w:val="0"/>
          <w:numId w:val="18"/>
        </w:numPr>
        <w:tabs>
          <w:tab w:val="num" w:pos="360"/>
        </w:tabs>
        <w:ind w:left="360"/>
      </w:pPr>
      <w:proofErr w:type="gramStart"/>
      <w:r w:rsidRPr="00CC47C4">
        <w:t>reflection</w:t>
      </w:r>
      <w:proofErr w:type="gramEnd"/>
      <w:r w:rsidRPr="00CC47C4">
        <w:t xml:space="preserve"> and evaluation</w:t>
      </w:r>
      <w:r w:rsidR="00665E84">
        <w:t>.</w:t>
      </w:r>
    </w:p>
    <w:p w:rsidR="004E6599" w:rsidRPr="00D972F0" w:rsidRDefault="00F37DE2" w:rsidP="00D972F0">
      <w:pPr>
        <w:pStyle w:val="BodyText1"/>
      </w:pPr>
      <w:r>
        <w:t xml:space="preserve">The most important aspect to note for the </w:t>
      </w:r>
      <w:r w:rsidR="005879E3">
        <w:t>r</w:t>
      </w:r>
      <w:r>
        <w:t xml:space="preserve">eflection </w:t>
      </w:r>
      <w:r w:rsidR="00CC2D01">
        <w:t>a</w:t>
      </w:r>
      <w:r>
        <w:t xml:space="preserve">ssessment </w:t>
      </w:r>
      <w:r w:rsidR="00CC2D01">
        <w:t>t</w:t>
      </w:r>
      <w:r>
        <w:t xml:space="preserve">ype is that these tasks are in no way </w:t>
      </w:r>
      <w:r w:rsidR="004E6599">
        <w:t xml:space="preserve">associated with the evidence provided for </w:t>
      </w:r>
      <w:r w:rsidR="0089575B">
        <w:t>Assessment Type 2: P</w:t>
      </w:r>
      <w:r w:rsidR="00314073">
        <w:t xml:space="preserve">erformance. </w:t>
      </w:r>
      <w:r w:rsidR="004E6599">
        <w:t>There must be distinct tasks that ask students to reflect on and evaluate their learning in a range of contexts.</w:t>
      </w:r>
    </w:p>
    <w:p w:rsidR="004E6599" w:rsidRPr="00D972F0" w:rsidRDefault="00314073" w:rsidP="00D972F0">
      <w:pPr>
        <w:pStyle w:val="BodyText1"/>
      </w:pPr>
      <w:r w:rsidRPr="00314073">
        <w:t>Task design that allows for students to reflect on lea</w:t>
      </w:r>
      <w:r w:rsidR="005879E3">
        <w:t>r</w:t>
      </w:r>
      <w:r w:rsidRPr="00314073">
        <w:t>ning</w:t>
      </w:r>
      <w:r>
        <w:t xml:space="preserve"> and </w:t>
      </w:r>
      <w:r w:rsidR="005879E3">
        <w:t xml:space="preserve">to </w:t>
      </w:r>
      <w:r>
        <w:t>se</w:t>
      </w:r>
      <w:r w:rsidRPr="00314073">
        <w:t>lf-evaluate</w:t>
      </w:r>
      <w:r>
        <w:t xml:space="preserve"> </w:t>
      </w:r>
      <w:r w:rsidR="00CC2D01">
        <w:t xml:space="preserve">generally </w:t>
      </w:r>
      <w:r>
        <w:t>allow</w:t>
      </w:r>
      <w:r w:rsidR="00D35DA9">
        <w:t>s</w:t>
      </w:r>
      <w:r w:rsidRPr="00314073">
        <w:t xml:space="preserve"> for higher </w:t>
      </w:r>
      <w:r w:rsidR="00CC2D01">
        <w:t>grades</w:t>
      </w:r>
      <w:r w:rsidRPr="00314073">
        <w:t xml:space="preserve"> to be achieved. </w:t>
      </w:r>
      <w:r w:rsidR="00CC2D01">
        <w:t>Students generally performed best w</w:t>
      </w:r>
      <w:r>
        <w:t>hen tasks were clearly linked to a learning activity which students ha</w:t>
      </w:r>
      <w:r w:rsidR="00D35DA9">
        <w:t>d</w:t>
      </w:r>
      <w:r>
        <w:t xml:space="preserve"> undertaken. </w:t>
      </w:r>
      <w:r w:rsidR="004E6599">
        <w:t>For the 20</w:t>
      </w:r>
      <w:r w:rsidR="00CC2D01">
        <w:t>-c</w:t>
      </w:r>
      <w:r w:rsidR="004E6599">
        <w:t>redit subject</w:t>
      </w:r>
      <w:r w:rsidR="005879E3">
        <w:t>,</w:t>
      </w:r>
      <w:r w:rsidR="004E6599">
        <w:t xml:space="preserve"> it is strongly recommended that e</w:t>
      </w:r>
      <w:r w:rsidR="00CF3716">
        <w:t xml:space="preserve">ach of the two tasks be different </w:t>
      </w:r>
      <w:r w:rsidR="004E6599">
        <w:t xml:space="preserve">to allow the students to meet the </w:t>
      </w:r>
      <w:r w:rsidR="00CC2D01">
        <w:t>p</w:t>
      </w:r>
      <w:r w:rsidR="004E6599">
        <w:t xml:space="preserve">erformance </w:t>
      </w:r>
      <w:r w:rsidR="00CC2D01">
        <w:t>s</w:t>
      </w:r>
      <w:r w:rsidR="004E6599">
        <w:t>tandards to the highest possible standard.</w:t>
      </w:r>
      <w:r w:rsidR="00627A66">
        <w:t xml:space="preserve"> </w:t>
      </w:r>
      <w:r w:rsidR="00CC2D01">
        <w:t>W</w:t>
      </w:r>
      <w:r w:rsidR="004E6599">
        <w:t>here students reflected in exactly the same way (for example</w:t>
      </w:r>
      <w:r w:rsidR="005879E3">
        <w:t>,</w:t>
      </w:r>
      <w:r w:rsidR="004E6599">
        <w:t xml:space="preserve"> on </w:t>
      </w:r>
      <w:r w:rsidR="00CC2D01">
        <w:t>two</w:t>
      </w:r>
      <w:r w:rsidR="004E6599">
        <w:t xml:space="preserve"> similar </w:t>
      </w:r>
      <w:r w:rsidR="00CC2D01">
        <w:t>w</w:t>
      </w:r>
      <w:r w:rsidR="004E6599">
        <w:t xml:space="preserve">ork </w:t>
      </w:r>
      <w:r w:rsidR="00CC2D01">
        <w:t>e</w:t>
      </w:r>
      <w:r w:rsidR="004E6599">
        <w:t>xperiences, or even twice on the same experience)</w:t>
      </w:r>
      <w:r w:rsidR="00CC2D01">
        <w:t>,</w:t>
      </w:r>
      <w:r w:rsidR="004E6599">
        <w:t xml:space="preserve"> insufficient evidence of their engagement with the learning criteria was generally found.</w:t>
      </w:r>
    </w:p>
    <w:p w:rsidR="00CF3716" w:rsidRPr="00D972F0" w:rsidRDefault="00CF3716" w:rsidP="00D972F0">
      <w:pPr>
        <w:pStyle w:val="BodyText1"/>
      </w:pPr>
      <w:r>
        <w:t>Students achieved best where th</w:t>
      </w:r>
      <w:r w:rsidR="004E6599">
        <w:t xml:space="preserve">ey had the scope to investigate, </w:t>
      </w:r>
      <w:r>
        <w:t>reflect</w:t>
      </w:r>
      <w:r w:rsidR="005879E3">
        <w:t>,</w:t>
      </w:r>
      <w:r>
        <w:t xml:space="preserve"> and evaluate</w:t>
      </w:r>
      <w:r w:rsidR="005879E3">
        <w:t>,</w:t>
      </w:r>
      <w:r>
        <w:t xml:space="preserve"> rather than just answe</w:t>
      </w:r>
      <w:r w:rsidR="004E6599">
        <w:t>r questions given by a teacher</w:t>
      </w:r>
      <w:r w:rsidR="00CC2D01">
        <w:t>,</w:t>
      </w:r>
      <w:r w:rsidR="004E6599">
        <w:t xml:space="preserve"> and </w:t>
      </w:r>
      <w:r>
        <w:t>achieved well when tasks reflected and evaluated their vocational learning holistically</w:t>
      </w:r>
      <w:r w:rsidR="005879E3">
        <w:t>,</w:t>
      </w:r>
      <w:r>
        <w:t xml:space="preserve"> rather than </w:t>
      </w:r>
      <w:r w:rsidR="004E6599">
        <w:t>merely acting as a</w:t>
      </w:r>
      <w:r>
        <w:t xml:space="preserve"> recount of their performance. </w:t>
      </w:r>
      <w:r w:rsidR="004E6599" w:rsidRPr="00D972F0">
        <w:t>It was also evident to the moderators that students were able to achieve at higher levels when tasks were designed to allow them to self-evaluate rather than evaluate their workplace or industry.</w:t>
      </w:r>
    </w:p>
    <w:p w:rsidR="00314073" w:rsidRPr="00D972F0" w:rsidRDefault="00CC2D01" w:rsidP="00D972F0">
      <w:pPr>
        <w:pStyle w:val="BodyText1"/>
      </w:pPr>
      <w:r>
        <w:t xml:space="preserve">The subject outline does not include a word limit for the </w:t>
      </w:r>
      <w:r w:rsidR="005879E3">
        <w:t>r</w:t>
      </w:r>
      <w:r>
        <w:t>eflection.</w:t>
      </w:r>
      <w:r w:rsidR="00627A66">
        <w:t xml:space="preserve"> </w:t>
      </w:r>
      <w:r>
        <w:t>Where a word</w:t>
      </w:r>
      <w:r w:rsidR="005879E3">
        <w:t>-</w:t>
      </w:r>
      <w:r>
        <w:t xml:space="preserve">limit was included in the design of the task, this often </w:t>
      </w:r>
      <w:r w:rsidR="00314073">
        <w:t>hindered students’ ability to address criteria at a high standard.</w:t>
      </w:r>
    </w:p>
    <w:p w:rsidR="001A0F23" w:rsidRPr="00DF42D8" w:rsidRDefault="00532959" w:rsidP="00A81CA3">
      <w:pPr>
        <w:pStyle w:val="Heading2"/>
      </w:pPr>
      <w:r>
        <w:t>External Assessment</w:t>
      </w:r>
    </w:p>
    <w:p w:rsidR="001A0F23" w:rsidRDefault="001A0F23" w:rsidP="001A0F23">
      <w:pPr>
        <w:pStyle w:val="AssessmentTypeHeading"/>
      </w:pPr>
      <w:r w:rsidRPr="00D108CB">
        <w:t>Assessment Type 4</w:t>
      </w:r>
      <w:r w:rsidR="00E75FF4">
        <w:t>: Investigation</w:t>
      </w:r>
    </w:p>
    <w:p w:rsidR="00D32C25" w:rsidRPr="00D972F0" w:rsidRDefault="00D32C25" w:rsidP="00D32C25">
      <w:pPr>
        <w:pStyle w:val="BodyText1"/>
      </w:pPr>
      <w:r w:rsidRPr="00D972F0">
        <w:t xml:space="preserve">Students provide evidence of their learning in relation to the </w:t>
      </w:r>
      <w:r>
        <w:t>a</w:t>
      </w:r>
      <w:r w:rsidRPr="00D972F0">
        <w:t xml:space="preserve">ssessment </w:t>
      </w:r>
      <w:r>
        <w:t>d</w:t>
      </w:r>
      <w:r w:rsidRPr="00D972F0">
        <w:t xml:space="preserve">esign </w:t>
      </w:r>
      <w:r>
        <w:t>c</w:t>
      </w:r>
      <w:r w:rsidRPr="00D972F0">
        <w:t>riteria of:</w:t>
      </w:r>
    </w:p>
    <w:p w:rsidR="00D32C25" w:rsidRPr="00CC47C4" w:rsidRDefault="00D32C25" w:rsidP="00D32C25">
      <w:pPr>
        <w:pStyle w:val="dotpoints"/>
        <w:numPr>
          <w:ilvl w:val="0"/>
          <w:numId w:val="18"/>
        </w:numPr>
        <w:tabs>
          <w:tab w:val="num" w:pos="360"/>
        </w:tabs>
        <w:ind w:left="360"/>
      </w:pPr>
      <w:r w:rsidRPr="00CC47C4">
        <w:t>knowledge and understanding</w:t>
      </w:r>
    </w:p>
    <w:p w:rsidR="00D32C25" w:rsidRPr="00CC47C4" w:rsidRDefault="00D32C25" w:rsidP="00D32C25">
      <w:pPr>
        <w:pStyle w:val="dotpoints"/>
        <w:numPr>
          <w:ilvl w:val="0"/>
          <w:numId w:val="18"/>
        </w:numPr>
        <w:tabs>
          <w:tab w:val="num" w:pos="360"/>
        </w:tabs>
        <w:ind w:left="360"/>
      </w:pPr>
      <w:r w:rsidRPr="00CC47C4">
        <w:t>investigation and analysis</w:t>
      </w:r>
    </w:p>
    <w:p w:rsidR="00D32C25" w:rsidRPr="00CC47C4" w:rsidRDefault="00D32C25" w:rsidP="00D32C25">
      <w:pPr>
        <w:pStyle w:val="dotpoints"/>
        <w:numPr>
          <w:ilvl w:val="0"/>
          <w:numId w:val="18"/>
        </w:numPr>
        <w:tabs>
          <w:tab w:val="num" w:pos="360"/>
        </w:tabs>
        <w:ind w:left="360"/>
      </w:pPr>
      <w:proofErr w:type="gramStart"/>
      <w:r w:rsidRPr="00CC47C4">
        <w:t>reflection</w:t>
      </w:r>
      <w:proofErr w:type="gramEnd"/>
      <w:r w:rsidRPr="00CC47C4">
        <w:t xml:space="preserve"> and evaluation</w:t>
      </w:r>
      <w:r w:rsidR="003F2661">
        <w:t>.</w:t>
      </w:r>
    </w:p>
    <w:p w:rsidR="004E6599" w:rsidRPr="00D972F0" w:rsidRDefault="004E6599" w:rsidP="00D972F0">
      <w:pPr>
        <w:pStyle w:val="BodyText1"/>
      </w:pPr>
      <w:r w:rsidRPr="00D972F0">
        <w:lastRenderedPageBreak/>
        <w:t xml:space="preserve">This year for the first time there were more </w:t>
      </w:r>
      <w:r w:rsidR="005879E3">
        <w:t>p</w:t>
      </w:r>
      <w:r w:rsidRPr="00D972F0">
        <w:t xml:space="preserve">ractical </w:t>
      </w:r>
      <w:r w:rsidR="005879E3">
        <w:t xml:space="preserve">investigations </w:t>
      </w:r>
      <w:r w:rsidRPr="00D972F0">
        <w:t xml:space="preserve">than </w:t>
      </w:r>
      <w:r w:rsidR="005879E3">
        <w:t>i</w:t>
      </w:r>
      <w:r w:rsidRPr="00D972F0">
        <w:t>ssue</w:t>
      </w:r>
      <w:r w:rsidR="005879E3">
        <w:t>s</w:t>
      </w:r>
      <w:r w:rsidRPr="00D972F0">
        <w:t xml:space="preserve"> </w:t>
      </w:r>
      <w:r w:rsidR="005879E3">
        <w:t>i</w:t>
      </w:r>
      <w:r w:rsidRPr="00D972F0">
        <w:t>nvestigations, perhaps reflecting the fact that teachers are feeling increasingly comfortable with providing students the opportunity to choose the task most appropriate to their own learning style, learning needs</w:t>
      </w:r>
      <w:r w:rsidR="005879E3">
        <w:t>,</w:t>
      </w:r>
      <w:r w:rsidRPr="00D972F0">
        <w:t xml:space="preserve"> and chosen vocation. It was generally evident where students were not provided with the opportunity to choose their focus</w:t>
      </w:r>
      <w:r w:rsidR="003B6C47">
        <w:t>,</w:t>
      </w:r>
      <w:r w:rsidRPr="00D972F0">
        <w:t xml:space="preserve"> and in most</w:t>
      </w:r>
      <w:r w:rsidR="003B6C47">
        <w:t xml:space="preserve"> of these </w:t>
      </w:r>
      <w:r w:rsidRPr="00D972F0">
        <w:t xml:space="preserve">instances the students were not able to meet the </w:t>
      </w:r>
      <w:r w:rsidR="003B6C47">
        <w:t>p</w:t>
      </w:r>
      <w:r w:rsidRPr="00D972F0">
        <w:t xml:space="preserve">erformance </w:t>
      </w:r>
      <w:r w:rsidR="003B6C47">
        <w:t>s</w:t>
      </w:r>
      <w:r w:rsidRPr="00D972F0">
        <w:t>tandards to a high standard</w:t>
      </w:r>
      <w:r w:rsidR="003B6C47">
        <w:t>, often</w:t>
      </w:r>
      <w:r w:rsidRPr="00D972F0">
        <w:t xml:space="preserve"> due to the fact that much of the learning or reflection and evaluation </w:t>
      </w:r>
      <w:r w:rsidR="005F135F">
        <w:t>was</w:t>
      </w:r>
      <w:r w:rsidR="005F135F" w:rsidRPr="00D972F0">
        <w:t xml:space="preserve"> </w:t>
      </w:r>
      <w:r w:rsidRPr="00D972F0">
        <w:t>not contextualised for the individual.</w:t>
      </w:r>
    </w:p>
    <w:p w:rsidR="004E6599" w:rsidRPr="00D972F0" w:rsidRDefault="004E6599" w:rsidP="00D972F0">
      <w:pPr>
        <w:pStyle w:val="BodyText1"/>
      </w:pPr>
      <w:r w:rsidRPr="00D972F0">
        <w:t xml:space="preserve">It is strongly recommended that teachers </w:t>
      </w:r>
      <w:r w:rsidR="003B6C47">
        <w:t xml:space="preserve">avoid </w:t>
      </w:r>
      <w:r w:rsidRPr="00D972F0">
        <w:t xml:space="preserve">providing all students in the class </w:t>
      </w:r>
      <w:r w:rsidR="005879E3">
        <w:t xml:space="preserve">with </w:t>
      </w:r>
      <w:r w:rsidRPr="00D972F0">
        <w:t>the same task for th</w:t>
      </w:r>
      <w:r w:rsidR="005F135F">
        <w:t>e</w:t>
      </w:r>
      <w:r w:rsidRPr="00D972F0">
        <w:t xml:space="preserve"> investigation. </w:t>
      </w:r>
      <w:r w:rsidR="005879E3">
        <w:t>In i</w:t>
      </w:r>
      <w:r w:rsidRPr="00D972F0">
        <w:t>nstances where all students completed overly simplistic class tasks such as ‘Occupational Safety’ or ‘</w:t>
      </w:r>
      <w:r w:rsidR="003B6C47">
        <w:t>D</w:t>
      </w:r>
      <w:r w:rsidRPr="00D972F0">
        <w:t xml:space="preserve">rugs in the </w:t>
      </w:r>
      <w:r w:rsidR="003B6C47">
        <w:t>W</w:t>
      </w:r>
      <w:r w:rsidRPr="00D972F0">
        <w:t>orkplace’</w:t>
      </w:r>
      <w:r w:rsidR="005879E3">
        <w:t>,</w:t>
      </w:r>
      <w:r w:rsidRPr="00D972F0">
        <w:t xml:space="preserve"> there was generally limited engagement with the information and limited evidence of analysis or evaluation. </w:t>
      </w:r>
      <w:r w:rsidR="00A609A1" w:rsidRPr="00D972F0">
        <w:t>Many of these tasks were also overly scaffolded and did not allow students to engage with their learning on a more sophisticated level.</w:t>
      </w:r>
      <w:r w:rsidR="009F46F7">
        <w:t xml:space="preserve"> </w:t>
      </w:r>
      <w:r w:rsidRPr="00D972F0">
        <w:t xml:space="preserve">Where students were allowed to choose their own focus question, the </w:t>
      </w:r>
      <w:r w:rsidR="009F46F7">
        <w:t>quality</w:t>
      </w:r>
      <w:r w:rsidRPr="00D972F0">
        <w:t xml:space="preserve"> of work was generally higher</w:t>
      </w:r>
      <w:r w:rsidR="00A609A1" w:rsidRPr="00D972F0">
        <w:t xml:space="preserve"> than classes where work was standardised.</w:t>
      </w:r>
    </w:p>
    <w:p w:rsidR="00E31D3C" w:rsidRPr="001E5C61" w:rsidRDefault="00E31D3C" w:rsidP="00E31D3C">
      <w:pPr>
        <w:pStyle w:val="BodyText1"/>
      </w:pPr>
      <w:r w:rsidRPr="001E5C61">
        <w:t>It is also important that students understand the difference between presenting information</w:t>
      </w:r>
      <w:r w:rsidR="003B6C47">
        <w:t xml:space="preserve"> (</w:t>
      </w:r>
      <w:r w:rsidRPr="001E5C61">
        <w:t>such as facts, statistics</w:t>
      </w:r>
      <w:r w:rsidR="005879E3">
        <w:t>,</w:t>
      </w:r>
      <w:r w:rsidRPr="001E5C61">
        <w:t xml:space="preserve"> and graphs</w:t>
      </w:r>
      <w:r w:rsidR="003B6C47">
        <w:t>)</w:t>
      </w:r>
      <w:r w:rsidRPr="001E5C61">
        <w:t xml:space="preserve"> and analysing the information and what it has taught them about their chosen topic.</w:t>
      </w:r>
      <w:r w:rsidR="00627A66">
        <w:t xml:space="preserve"> </w:t>
      </w:r>
      <w:r w:rsidRPr="001E5C61">
        <w:t>Having information from more than one source</w:t>
      </w:r>
      <w:r w:rsidR="003B6C47">
        <w:t>,</w:t>
      </w:r>
      <w:r w:rsidRPr="001E5C61">
        <w:t xml:space="preserve"> and </w:t>
      </w:r>
      <w:r w:rsidR="005F135F">
        <w:t xml:space="preserve">more than one </w:t>
      </w:r>
      <w:r w:rsidRPr="001E5C61">
        <w:t>source type</w:t>
      </w:r>
      <w:r w:rsidR="003B6C47">
        <w:t>,</w:t>
      </w:r>
      <w:r w:rsidRPr="001E5C61">
        <w:t xml:space="preserve"> is helpful in allowing students to synthesise and analyse a range of viewpoints before coming up with their own opinion or </w:t>
      </w:r>
      <w:r w:rsidR="003B6C47">
        <w:t>conclusion about an idea or task</w:t>
      </w:r>
      <w:r w:rsidRPr="001E5C61">
        <w:t>.</w:t>
      </w:r>
      <w:r w:rsidR="00627A66">
        <w:t xml:space="preserve"> </w:t>
      </w:r>
      <w:r w:rsidRPr="001E5C61">
        <w:t>Whil</w:t>
      </w:r>
      <w:r w:rsidR="005879E3">
        <w:t>e</w:t>
      </w:r>
      <w:r w:rsidRPr="001E5C61">
        <w:t xml:space="preserve"> </w:t>
      </w:r>
      <w:r w:rsidR="00D35DA9">
        <w:t xml:space="preserve">a </w:t>
      </w:r>
      <w:r w:rsidRPr="001E5C61">
        <w:t>survey can be a helpful way of gathering information, it is not always effective when the respondents are not necessarily involved in the chosen industry or have limited knowledge of what the student is investigating. In many cases therefore, whil</w:t>
      </w:r>
      <w:r w:rsidR="005879E3">
        <w:t>e</w:t>
      </w:r>
      <w:r w:rsidRPr="001E5C61">
        <w:t xml:space="preserve"> it was evident that significant investigation had taken place (</w:t>
      </w:r>
      <w:r w:rsidR="005879E3">
        <w:t xml:space="preserve">specific feature </w:t>
      </w:r>
      <w:r w:rsidRPr="001E5C61">
        <w:t>IA2)</w:t>
      </w:r>
      <w:r w:rsidR="001169CF">
        <w:t xml:space="preserve"> th</w:t>
      </w:r>
      <w:r w:rsidR="005F135F">
        <w:t>r</w:t>
      </w:r>
      <w:r w:rsidR="001169CF">
        <w:t>ough surveys and other methods</w:t>
      </w:r>
      <w:r w:rsidRPr="001E5C61">
        <w:t>, it was not always evident that the student had adequately analysed the relationship between these issues, tasks</w:t>
      </w:r>
      <w:r w:rsidR="005879E3">
        <w:t>,</w:t>
      </w:r>
      <w:r w:rsidRPr="001E5C61">
        <w:t xml:space="preserve"> and practices (IA</w:t>
      </w:r>
      <w:r w:rsidR="00F5721C">
        <w:t>1</w:t>
      </w:r>
      <w:r w:rsidRPr="001E5C61">
        <w:t>).</w:t>
      </w:r>
    </w:p>
    <w:p w:rsidR="00A609A1" w:rsidRPr="00D972F0" w:rsidRDefault="00A609A1" w:rsidP="00D972F0">
      <w:pPr>
        <w:pStyle w:val="BodyText1"/>
      </w:pPr>
      <w:r w:rsidRPr="00D972F0">
        <w:t xml:space="preserve">One important note to consider is the appropriate use of </w:t>
      </w:r>
      <w:r w:rsidR="00F5721C">
        <w:t>a</w:t>
      </w:r>
      <w:r w:rsidRPr="00D972F0">
        <w:t xml:space="preserve">ppendices in both the </w:t>
      </w:r>
      <w:r w:rsidR="00F5721C">
        <w:t>p</w:t>
      </w:r>
      <w:r w:rsidRPr="00D972F0">
        <w:t xml:space="preserve">ractical and </w:t>
      </w:r>
      <w:r w:rsidR="00F5721C">
        <w:t>i</w:t>
      </w:r>
      <w:r w:rsidRPr="00D972F0">
        <w:t xml:space="preserve">ssues investigations. Appendices are useful </w:t>
      </w:r>
      <w:r w:rsidR="00832A1F">
        <w:t>only to illustrate or support the body of the text, for example</w:t>
      </w:r>
      <w:r w:rsidR="00F5721C">
        <w:t>,</w:t>
      </w:r>
      <w:r w:rsidR="00832A1F">
        <w:t xml:space="preserve"> </w:t>
      </w:r>
      <w:r w:rsidRPr="00D972F0">
        <w:t>when providing evidence of the completion of preparatory work</w:t>
      </w:r>
      <w:r w:rsidR="00832A1F">
        <w:t xml:space="preserve"> with photos</w:t>
      </w:r>
      <w:r w:rsidRPr="00D972F0">
        <w:t>, surveys, interviews</w:t>
      </w:r>
      <w:r w:rsidR="00F5721C">
        <w:t>,</w:t>
      </w:r>
      <w:r w:rsidRPr="00D972F0">
        <w:t xml:space="preserve"> and the like. However, this year </w:t>
      </w:r>
      <w:r w:rsidR="00832A1F">
        <w:t>markers</w:t>
      </w:r>
      <w:r w:rsidRPr="00D972F0">
        <w:t xml:space="preserve"> noticed an increase in students using </w:t>
      </w:r>
      <w:r w:rsidR="00F5721C">
        <w:t>appendices</w:t>
      </w:r>
      <w:r w:rsidRPr="00D972F0">
        <w:t xml:space="preserve"> to </w:t>
      </w:r>
      <w:r w:rsidR="00535F1F" w:rsidRPr="00D972F0">
        <w:t>circumvent the word</w:t>
      </w:r>
      <w:r w:rsidRPr="00D972F0">
        <w:t xml:space="preserve"> limits</w:t>
      </w:r>
      <w:r w:rsidR="007E136E">
        <w:t xml:space="preserve"> (maximum of 2000 words for the 20-credit subject; maximum of 100</w:t>
      </w:r>
      <w:r w:rsidR="005F135F">
        <w:t>0</w:t>
      </w:r>
      <w:r w:rsidR="007E136E">
        <w:t xml:space="preserve"> words for the 10-credit subject)</w:t>
      </w:r>
      <w:r w:rsidRPr="00D972F0">
        <w:t xml:space="preserve">. Markers must be able to find all evidence needed to provide a grade in the body of a student’s work. </w:t>
      </w:r>
      <w:r w:rsidR="00535F1F" w:rsidRPr="00D972F0">
        <w:t xml:space="preserve">Students’ directing markers to find the evidence in </w:t>
      </w:r>
      <w:r w:rsidR="00F5721C">
        <w:t>an</w:t>
      </w:r>
      <w:r w:rsidR="00535F1F" w:rsidRPr="00D972F0">
        <w:t xml:space="preserve"> appendix often limited their achievement. So too</w:t>
      </w:r>
      <w:r w:rsidR="003B6C47">
        <w:t>,</w:t>
      </w:r>
      <w:r w:rsidR="00535F1F" w:rsidRPr="00D972F0">
        <w:t xml:space="preserve"> did students who presented the data in their report and the analysis of the data in their appendix, rather than choosing the most appropriate components </w:t>
      </w:r>
      <w:r w:rsidR="005F135F">
        <w:t xml:space="preserve">of the analysis </w:t>
      </w:r>
      <w:r w:rsidR="00535F1F" w:rsidRPr="00D972F0">
        <w:t xml:space="preserve">to include in the body. </w:t>
      </w:r>
      <w:r w:rsidRPr="00D972F0">
        <w:t xml:space="preserve">Where evidence of </w:t>
      </w:r>
      <w:r w:rsidR="00F5721C">
        <w:t>r</w:t>
      </w:r>
      <w:r w:rsidRPr="00D972F0">
        <w:t xml:space="preserve">eflection </w:t>
      </w:r>
      <w:r w:rsidR="00271D87">
        <w:t>and</w:t>
      </w:r>
      <w:r w:rsidRPr="00D972F0">
        <w:t xml:space="preserve"> </w:t>
      </w:r>
      <w:r w:rsidR="00F5721C">
        <w:t>e</w:t>
      </w:r>
      <w:r w:rsidRPr="00D972F0">
        <w:t xml:space="preserve">valuation, </w:t>
      </w:r>
      <w:r w:rsidR="00271D87">
        <w:t xml:space="preserve">or </w:t>
      </w:r>
      <w:r w:rsidR="00F5721C">
        <w:t>a</w:t>
      </w:r>
      <w:r w:rsidRPr="00D972F0">
        <w:t>nalysis</w:t>
      </w:r>
      <w:r w:rsidR="00F5721C">
        <w:t>,</w:t>
      </w:r>
      <w:r w:rsidRPr="00D972F0">
        <w:t xml:space="preserve"> or </w:t>
      </w:r>
      <w:r w:rsidR="00F5721C">
        <w:t>k</w:t>
      </w:r>
      <w:r w:rsidRPr="00D972F0">
        <w:t xml:space="preserve">nowledge and </w:t>
      </w:r>
      <w:r w:rsidR="00F5721C">
        <w:t>u</w:t>
      </w:r>
      <w:r w:rsidRPr="00D972F0">
        <w:t xml:space="preserve">nderstanding was provided only through an </w:t>
      </w:r>
      <w:r w:rsidR="00271D87">
        <w:t>a</w:t>
      </w:r>
      <w:r w:rsidRPr="00D972F0">
        <w:t>ppendix, this was</w:t>
      </w:r>
      <w:r w:rsidR="00271D87">
        <w:t xml:space="preserve"> not sufficient evidence that the assessment design criteria</w:t>
      </w:r>
      <w:r w:rsidRPr="00D972F0">
        <w:t xml:space="preserve"> </w:t>
      </w:r>
      <w:r w:rsidR="00F5721C">
        <w:t xml:space="preserve">had </w:t>
      </w:r>
      <w:r w:rsidRPr="00D972F0">
        <w:t>been addressed.</w:t>
      </w:r>
    </w:p>
    <w:p w:rsidR="006C05E2" w:rsidRDefault="00A609A1">
      <w:pPr>
        <w:pStyle w:val="Topicheading2"/>
        <w:jc w:val="left"/>
      </w:pPr>
      <w:r w:rsidRPr="00B13D3E">
        <w:t>Issues Investigations</w:t>
      </w:r>
    </w:p>
    <w:p w:rsidR="00A609A1" w:rsidRPr="00D972F0" w:rsidRDefault="00B751DA" w:rsidP="00D972F0">
      <w:pPr>
        <w:pStyle w:val="BodyText1"/>
      </w:pPr>
      <w:r>
        <w:t>As in previous years, t</w:t>
      </w:r>
      <w:r w:rsidR="00A609A1" w:rsidRPr="00D972F0">
        <w:t>he most successful investigations</w:t>
      </w:r>
      <w:r>
        <w:t xml:space="preserve"> </w:t>
      </w:r>
      <w:r w:rsidR="00A609A1" w:rsidRPr="00D972F0">
        <w:t xml:space="preserve">started with an appropriate question </w:t>
      </w:r>
      <w:r w:rsidR="00F5721C">
        <w:t>—</w:t>
      </w:r>
      <w:r w:rsidR="00A609A1" w:rsidRPr="00D972F0">
        <w:t xml:space="preserve"> worded as an actual issue </w:t>
      </w:r>
      <w:r w:rsidR="00F5721C">
        <w:t>—</w:t>
      </w:r>
      <w:r w:rsidR="00A609A1" w:rsidRPr="00D972F0">
        <w:t xml:space="preserve"> that students could engage with and investigate. Where a clear and appropriate issue was defined, students were generally more likely to engage with their research in a meaningful manner. Some students were </w:t>
      </w:r>
      <w:r w:rsidR="00B5383C">
        <w:t>not well-served</w:t>
      </w:r>
      <w:r w:rsidR="00A609A1" w:rsidRPr="00D972F0">
        <w:t xml:space="preserve"> by their </w:t>
      </w:r>
      <w:r>
        <w:t>issue</w:t>
      </w:r>
      <w:r w:rsidR="001169CF">
        <w:t>,</w:t>
      </w:r>
      <w:r w:rsidR="00A609A1" w:rsidRPr="00D972F0">
        <w:t xml:space="preserve"> with </w:t>
      </w:r>
      <w:r w:rsidR="001169CF">
        <w:t xml:space="preserve">students </w:t>
      </w:r>
      <w:r w:rsidR="00A609A1" w:rsidRPr="00D972F0">
        <w:t xml:space="preserve">using </w:t>
      </w:r>
      <w:r>
        <w:t xml:space="preserve">topics and </w:t>
      </w:r>
      <w:r w:rsidR="00A609A1" w:rsidRPr="00D972F0">
        <w:t xml:space="preserve">themes rather than issues and therefore not addressing many of the </w:t>
      </w:r>
      <w:r>
        <w:t>criteria for assessment</w:t>
      </w:r>
      <w:r w:rsidR="00A609A1" w:rsidRPr="00D972F0">
        <w:t>.</w:t>
      </w:r>
      <w:r w:rsidR="00627A66">
        <w:t xml:space="preserve"> </w:t>
      </w:r>
      <w:r w:rsidR="00A609A1" w:rsidRPr="00D972F0">
        <w:t>Topics such as ‘Workplace Health and Safety</w:t>
      </w:r>
      <w:r w:rsidR="00D35DA9">
        <w:t>’</w:t>
      </w:r>
      <w:r w:rsidR="00A609A1" w:rsidRPr="00D972F0">
        <w:t>, ‘</w:t>
      </w:r>
      <w:r w:rsidR="00F5721C">
        <w:t>D</w:t>
      </w:r>
      <w:r w:rsidR="00A609A1" w:rsidRPr="00D972F0">
        <w:t xml:space="preserve">rugs in the </w:t>
      </w:r>
      <w:r w:rsidR="00F5721C">
        <w:t>W</w:t>
      </w:r>
      <w:r w:rsidR="00A609A1" w:rsidRPr="00D972F0">
        <w:t>orkplace</w:t>
      </w:r>
      <w:r w:rsidR="00D35DA9">
        <w:t>’</w:t>
      </w:r>
      <w:r w:rsidR="00A609A1" w:rsidRPr="00D972F0">
        <w:t>,</w:t>
      </w:r>
      <w:r w:rsidR="00535F1F" w:rsidRPr="00D972F0">
        <w:t xml:space="preserve"> </w:t>
      </w:r>
      <w:r w:rsidR="00E31D3C" w:rsidRPr="00D972F0">
        <w:t>‘CEO Investigation</w:t>
      </w:r>
      <w:r w:rsidR="00D35DA9">
        <w:t>’</w:t>
      </w:r>
      <w:r w:rsidR="00E31D3C" w:rsidRPr="00D972F0">
        <w:t xml:space="preserve">, </w:t>
      </w:r>
      <w:r w:rsidR="00D35DA9">
        <w:t>‘</w:t>
      </w:r>
      <w:r w:rsidR="00F5721C">
        <w:t>B</w:t>
      </w:r>
      <w:r w:rsidR="00E31D3C" w:rsidRPr="00D972F0">
        <w:t>ullying</w:t>
      </w:r>
      <w:r w:rsidR="00D35DA9">
        <w:t>’</w:t>
      </w:r>
      <w:r w:rsidR="00535F1F" w:rsidRPr="00D972F0">
        <w:t>, ‘</w:t>
      </w:r>
      <w:r w:rsidR="00F5721C">
        <w:t>H</w:t>
      </w:r>
      <w:r w:rsidR="00535F1F" w:rsidRPr="00D972F0">
        <w:t>arassment</w:t>
      </w:r>
      <w:r w:rsidR="00D35DA9">
        <w:t>’</w:t>
      </w:r>
      <w:r w:rsidR="00535F1F" w:rsidRPr="00D972F0">
        <w:t>,</w:t>
      </w:r>
      <w:r w:rsidR="00A609A1" w:rsidRPr="00D972F0">
        <w:t xml:space="preserve"> ‘</w:t>
      </w:r>
      <w:r w:rsidR="00F5721C">
        <w:t>S</w:t>
      </w:r>
      <w:r w:rsidR="00A609A1" w:rsidRPr="00D972F0">
        <w:t>caffolding</w:t>
      </w:r>
      <w:r w:rsidR="00B5383C">
        <w:t xml:space="preserve"> </w:t>
      </w:r>
      <w:r w:rsidR="001169CF">
        <w:t>in the</w:t>
      </w:r>
      <w:r w:rsidR="00B5383C">
        <w:t xml:space="preserve"> const</w:t>
      </w:r>
      <w:r w:rsidR="001169CF">
        <w:t>ruction industry</w:t>
      </w:r>
      <w:r w:rsidR="00D35DA9">
        <w:t>’</w:t>
      </w:r>
      <w:r w:rsidR="00A609A1" w:rsidRPr="00D972F0">
        <w:t xml:space="preserve">, or </w:t>
      </w:r>
      <w:r w:rsidR="00A609A1" w:rsidRPr="00D972F0">
        <w:lastRenderedPageBreak/>
        <w:t>‘</w:t>
      </w:r>
      <w:r w:rsidR="00F5721C">
        <w:t>W</w:t>
      </w:r>
      <w:r w:rsidR="00A609A1" w:rsidRPr="00D972F0">
        <w:t xml:space="preserve">ork-life </w:t>
      </w:r>
      <w:r w:rsidR="00F5721C">
        <w:t>B</w:t>
      </w:r>
      <w:r w:rsidR="00A609A1" w:rsidRPr="00D972F0">
        <w:t>alance</w:t>
      </w:r>
      <w:r w:rsidR="00D35DA9">
        <w:t>’</w:t>
      </w:r>
      <w:r w:rsidR="00A609A1" w:rsidRPr="00D972F0">
        <w:t xml:space="preserve"> are examples of work that generally struggled to meet the minimum requirements for this task. Simply creating a meaningful issue out of these broad topics would have, in many cases, alleviated these problems.</w:t>
      </w:r>
    </w:p>
    <w:p w:rsidR="00A609A1" w:rsidRPr="00D972F0" w:rsidRDefault="00535F1F" w:rsidP="00D972F0">
      <w:pPr>
        <w:pStyle w:val="BodyText1"/>
      </w:pPr>
      <w:r w:rsidRPr="00D972F0">
        <w:t xml:space="preserve">Markers once again noted that the students who performed the best </w:t>
      </w:r>
      <w:r w:rsidR="00D35DA9" w:rsidRPr="00D972F0">
        <w:t>for the</w:t>
      </w:r>
      <w:r w:rsidR="00D35DA9">
        <w:t>ir</w:t>
      </w:r>
      <w:r w:rsidR="00D35DA9" w:rsidRPr="00D972F0">
        <w:t xml:space="preserve"> </w:t>
      </w:r>
      <w:r w:rsidR="00D35DA9">
        <w:t>i</w:t>
      </w:r>
      <w:r w:rsidR="00D35DA9" w:rsidRPr="00D972F0">
        <w:t>ssue</w:t>
      </w:r>
      <w:r w:rsidR="00D35DA9">
        <w:t>s</w:t>
      </w:r>
      <w:r w:rsidR="00D35DA9" w:rsidRPr="00D972F0">
        <w:t xml:space="preserve"> </w:t>
      </w:r>
      <w:r w:rsidR="00D35DA9">
        <w:t>i</w:t>
      </w:r>
      <w:r w:rsidR="00D35DA9" w:rsidRPr="00D972F0">
        <w:t xml:space="preserve">nvestigation </w:t>
      </w:r>
      <w:r w:rsidRPr="00D972F0">
        <w:t xml:space="preserve">were able to link their chosen issue to their own workplace context. This allowed for more sophisticated </w:t>
      </w:r>
      <w:r w:rsidR="00F5721C">
        <w:t>i</w:t>
      </w:r>
      <w:r w:rsidRPr="00D972F0">
        <w:t xml:space="preserve">nvestigation and </w:t>
      </w:r>
      <w:r w:rsidR="00F5721C">
        <w:t>a</w:t>
      </w:r>
      <w:r w:rsidRPr="00D972F0">
        <w:t>nalysis</w:t>
      </w:r>
      <w:r w:rsidR="00F5721C">
        <w:t>,</w:t>
      </w:r>
      <w:r w:rsidRPr="00D972F0">
        <w:t xml:space="preserve"> and </w:t>
      </w:r>
      <w:r w:rsidR="00F5721C">
        <w:t>k</w:t>
      </w:r>
      <w:r w:rsidRPr="00D972F0">
        <w:t xml:space="preserve">nowledge and </w:t>
      </w:r>
      <w:r w:rsidR="00F5721C">
        <w:t>u</w:t>
      </w:r>
      <w:r w:rsidRPr="00D972F0">
        <w:t>nderstanding to be demonstrated.</w:t>
      </w:r>
    </w:p>
    <w:p w:rsidR="00535F1F" w:rsidRPr="00D972F0" w:rsidRDefault="00535F1F" w:rsidP="00D972F0">
      <w:pPr>
        <w:pStyle w:val="BodyText1"/>
      </w:pPr>
      <w:r w:rsidRPr="00D972F0">
        <w:t>The most successful students also made sure to reflect on and evaluate their learning in regard to their own career decisions and how this issue will impact on them as they transition to the workforce.</w:t>
      </w:r>
      <w:r w:rsidR="00627A66">
        <w:t xml:space="preserve"> </w:t>
      </w:r>
      <w:r w:rsidRPr="00D972F0">
        <w:t>Students who reflected on or evaluated their performance in the assessment task (</w:t>
      </w:r>
      <w:r w:rsidR="002432D8">
        <w:t xml:space="preserve">such as their </w:t>
      </w:r>
      <w:r w:rsidR="000B3E0A">
        <w:t xml:space="preserve">own </w:t>
      </w:r>
      <w:r w:rsidRPr="00D972F0">
        <w:t xml:space="preserve">time management), generally only met this </w:t>
      </w:r>
      <w:r w:rsidR="00B751DA">
        <w:t>p</w:t>
      </w:r>
      <w:r w:rsidRPr="00D972F0">
        <w:t xml:space="preserve">erformance </w:t>
      </w:r>
      <w:r w:rsidR="00B751DA">
        <w:t>s</w:t>
      </w:r>
      <w:r w:rsidRPr="00D972F0">
        <w:t>tandard to a limited degree.</w:t>
      </w:r>
    </w:p>
    <w:p w:rsidR="00535F1F" w:rsidRPr="00D972F0" w:rsidRDefault="00535F1F" w:rsidP="00D972F0">
      <w:pPr>
        <w:pStyle w:val="BodyText1"/>
      </w:pPr>
      <w:r w:rsidRPr="00D972F0">
        <w:t xml:space="preserve">Where teachers provided detailed and restrictive scaffolds for students, markers noted that it was difficult to </w:t>
      </w:r>
      <w:r w:rsidR="00C40D14">
        <w:t>f</w:t>
      </w:r>
      <w:r w:rsidRPr="00D972F0">
        <w:t>ind evidence at the higher levels of achievement. These highly prescriptive tasks also limit the students’ ability to effectively investigate and analyse their findings.</w:t>
      </w:r>
    </w:p>
    <w:p w:rsidR="006C05E2" w:rsidRDefault="00535F1F">
      <w:pPr>
        <w:pStyle w:val="Topicheading2"/>
        <w:jc w:val="left"/>
      </w:pPr>
      <w:r w:rsidRPr="00B13D3E">
        <w:t>Practical Investigation</w:t>
      </w:r>
    </w:p>
    <w:p w:rsidR="00535F1F" w:rsidRPr="00D972F0" w:rsidRDefault="00D972F0" w:rsidP="00D972F0">
      <w:pPr>
        <w:pStyle w:val="BodyText1"/>
      </w:pPr>
      <w:r>
        <w:t>T</w:t>
      </w:r>
      <w:r w:rsidR="00EF11F3" w:rsidRPr="00D972F0">
        <w:t xml:space="preserve">he most successful </w:t>
      </w:r>
      <w:r w:rsidR="002432D8">
        <w:t>p</w:t>
      </w:r>
      <w:r w:rsidR="00EF11F3" w:rsidRPr="00D972F0">
        <w:t xml:space="preserve">ractical </w:t>
      </w:r>
      <w:r w:rsidR="002432D8">
        <w:t>i</w:t>
      </w:r>
      <w:r w:rsidR="00EF11F3" w:rsidRPr="00D972F0">
        <w:t xml:space="preserve">nvestigations asked for students to demonstrate their involvement in a real-world activity related to their focus industry. Many of the more successful practical </w:t>
      </w:r>
      <w:r w:rsidR="00B751DA">
        <w:t>i</w:t>
      </w:r>
      <w:r w:rsidR="00EF11F3" w:rsidRPr="00D972F0">
        <w:t>nvestigation</w:t>
      </w:r>
      <w:r w:rsidR="00B751DA">
        <w:t>s</w:t>
      </w:r>
      <w:r w:rsidR="00EF11F3" w:rsidRPr="00D972F0">
        <w:t xml:space="preserve"> included a </w:t>
      </w:r>
      <w:r w:rsidR="00B751DA">
        <w:t>m</w:t>
      </w:r>
      <w:r w:rsidR="00EF11F3" w:rsidRPr="00D972F0">
        <w:t>ultimedia component, such as videos, photos</w:t>
      </w:r>
      <w:r w:rsidR="002432D8">
        <w:t>,</w:t>
      </w:r>
      <w:r w:rsidR="00EF11F3" w:rsidRPr="00D972F0">
        <w:t xml:space="preserve"> or other evidence. Markers found </w:t>
      </w:r>
      <w:r w:rsidR="002432D8">
        <w:t xml:space="preserve">that, </w:t>
      </w:r>
      <w:r w:rsidR="00EF11F3" w:rsidRPr="00D972F0">
        <w:t xml:space="preserve">where students referenced their </w:t>
      </w:r>
      <w:r w:rsidR="002432D8">
        <w:t>p</w:t>
      </w:r>
      <w:r w:rsidR="00EF11F3" w:rsidRPr="00D972F0">
        <w:t xml:space="preserve">ractical in a written report without providing any supporting evidence </w:t>
      </w:r>
      <w:r w:rsidR="00B751DA" w:rsidRPr="00D972F0">
        <w:t xml:space="preserve">in their work </w:t>
      </w:r>
      <w:r w:rsidR="00EF11F3" w:rsidRPr="00D972F0">
        <w:t xml:space="preserve">(such as annotated photos </w:t>
      </w:r>
      <w:r w:rsidR="002432D8">
        <w:t>and so on</w:t>
      </w:r>
      <w:r w:rsidR="00EF11F3" w:rsidRPr="00D972F0">
        <w:t>)</w:t>
      </w:r>
      <w:r w:rsidR="00B751DA">
        <w:t>,</w:t>
      </w:r>
      <w:r w:rsidR="00EF11F3" w:rsidRPr="00D972F0">
        <w:t xml:space="preserve"> it was difficult to confirm their learning at the higher levels.</w:t>
      </w:r>
    </w:p>
    <w:p w:rsidR="00EF11F3" w:rsidRPr="00D972F0" w:rsidRDefault="00EF11F3" w:rsidP="00D972F0">
      <w:pPr>
        <w:pStyle w:val="BodyText1"/>
      </w:pPr>
      <w:r w:rsidRPr="00D972F0">
        <w:t xml:space="preserve">In </w:t>
      </w:r>
      <w:r w:rsidR="001169CF">
        <w:t xml:space="preserve">some of </w:t>
      </w:r>
      <w:r w:rsidRPr="00D972F0">
        <w:t>the le</w:t>
      </w:r>
      <w:r w:rsidR="00B5383C">
        <w:t>ss</w:t>
      </w:r>
      <w:r w:rsidRPr="00D972F0">
        <w:t xml:space="preserve"> successful </w:t>
      </w:r>
      <w:r w:rsidR="002432D8">
        <w:t>p</w:t>
      </w:r>
      <w:r w:rsidRPr="00D972F0">
        <w:t xml:space="preserve">ractical </w:t>
      </w:r>
      <w:r w:rsidR="002432D8">
        <w:t>i</w:t>
      </w:r>
      <w:r w:rsidRPr="00D972F0">
        <w:t>nvestigations</w:t>
      </w:r>
      <w:r w:rsidR="002432D8">
        <w:t>,</w:t>
      </w:r>
      <w:r w:rsidRPr="00D972F0">
        <w:t xml:space="preserve"> students were asked to imagine their involvement in a particular work</w:t>
      </w:r>
      <w:r w:rsidR="002432D8">
        <w:t>-</w:t>
      </w:r>
      <w:r w:rsidRPr="00D972F0">
        <w:t>related task. In these instances, students were unable to address analysis, reflection</w:t>
      </w:r>
      <w:r w:rsidR="002432D8">
        <w:t>,</w:t>
      </w:r>
      <w:r w:rsidRPr="00D972F0">
        <w:t xml:space="preserve"> or evaluation to an appropriate level</w:t>
      </w:r>
      <w:r w:rsidR="002432D8">
        <w:t>,</w:t>
      </w:r>
      <w:r w:rsidRPr="00D972F0">
        <w:t xml:space="preserve"> as they were generally </w:t>
      </w:r>
      <w:r w:rsidR="002432D8">
        <w:t xml:space="preserve">attempting to do </w:t>
      </w:r>
      <w:r w:rsidRPr="00D972F0">
        <w:t xml:space="preserve">so for something </w:t>
      </w:r>
      <w:r w:rsidR="002432D8">
        <w:t xml:space="preserve">that </w:t>
      </w:r>
      <w:r w:rsidRPr="00D972F0">
        <w:t>they ha</w:t>
      </w:r>
      <w:r w:rsidR="002432D8">
        <w:t>d</w:t>
      </w:r>
      <w:r w:rsidRPr="00D972F0">
        <w:t xml:space="preserve"> never actually completed. It is highly recommended that teachers avoid using such </w:t>
      </w:r>
      <w:r w:rsidR="002432D8">
        <w:t xml:space="preserve">imagination </w:t>
      </w:r>
      <w:r w:rsidRPr="00D972F0">
        <w:t>tasks with their students.</w:t>
      </w:r>
    </w:p>
    <w:p w:rsidR="00EF11F3" w:rsidRPr="00D972F0" w:rsidRDefault="00EF11F3" w:rsidP="00D972F0">
      <w:pPr>
        <w:pStyle w:val="BodyText1"/>
      </w:pPr>
      <w:r w:rsidRPr="00D972F0">
        <w:t xml:space="preserve">Other less successful </w:t>
      </w:r>
      <w:r w:rsidR="002432D8">
        <w:t>p</w:t>
      </w:r>
      <w:r w:rsidRPr="00D972F0">
        <w:t xml:space="preserve">ractical </w:t>
      </w:r>
      <w:r w:rsidR="002432D8">
        <w:t>i</w:t>
      </w:r>
      <w:r w:rsidRPr="00D972F0">
        <w:t>nvestigations included how</w:t>
      </w:r>
      <w:r w:rsidR="002432D8">
        <w:t>-</w:t>
      </w:r>
      <w:r w:rsidRPr="00D972F0">
        <w:t>to guides</w:t>
      </w:r>
      <w:r w:rsidR="002432D8">
        <w:t>,</w:t>
      </w:r>
      <w:r w:rsidRPr="00D972F0">
        <w:t xml:space="preserve"> as most students simply created the guide without completing any other processes to support their achievement. </w:t>
      </w:r>
      <w:r w:rsidR="000B3E0A">
        <w:t>A better approach, if using a how-to guide, is, f</w:t>
      </w:r>
      <w:r w:rsidRPr="00D972F0">
        <w:t>or example, creating a how</w:t>
      </w:r>
      <w:r w:rsidR="002432D8">
        <w:t>-</w:t>
      </w:r>
      <w:r w:rsidRPr="00D972F0">
        <w:t xml:space="preserve">to guide and showing it to industry experts for feedback and </w:t>
      </w:r>
      <w:r w:rsidR="000B3E0A">
        <w:t xml:space="preserve">then </w:t>
      </w:r>
      <w:r w:rsidRPr="00D972F0">
        <w:t xml:space="preserve">making changes </w:t>
      </w:r>
      <w:r w:rsidR="000B3E0A">
        <w:t>which are</w:t>
      </w:r>
      <w:r w:rsidRPr="00D972F0">
        <w:t xml:space="preserve"> addressed in a written </w:t>
      </w:r>
      <w:r w:rsidR="002432D8">
        <w:t>r</w:t>
      </w:r>
      <w:r w:rsidRPr="00D972F0">
        <w:t xml:space="preserve">eflection and </w:t>
      </w:r>
      <w:r w:rsidR="002432D8">
        <w:t>e</w:t>
      </w:r>
      <w:r w:rsidRPr="00D972F0">
        <w:t>valuation</w:t>
      </w:r>
      <w:r w:rsidR="000B3E0A">
        <w:t>; these processes</w:t>
      </w:r>
      <w:r w:rsidRPr="00D972F0">
        <w:t xml:space="preserve"> could address many of the assessment design criteria to a more sophisticated level.</w:t>
      </w:r>
    </w:p>
    <w:p w:rsidR="00EF11F3" w:rsidRDefault="00EF11F3" w:rsidP="00EF11F3">
      <w:pPr>
        <w:pStyle w:val="BodyText1"/>
      </w:pPr>
      <w:r w:rsidRPr="001E5C61">
        <w:t xml:space="preserve">It is essential in the cases where students have researched and completed a task with a tangible outcome that there is evidence provided of the finished product. For example, students who have completed a video guide for completing a work task, </w:t>
      </w:r>
      <w:r w:rsidR="000B3E0A">
        <w:t xml:space="preserve">need to ensure that the video is </w:t>
      </w:r>
      <w:r w:rsidRPr="001E5C61">
        <w:t xml:space="preserve">submitted </w:t>
      </w:r>
      <w:r w:rsidR="000B3E0A">
        <w:t xml:space="preserve">(perhaps </w:t>
      </w:r>
      <w:r w:rsidR="005F135F">
        <w:t>on</w:t>
      </w:r>
      <w:r w:rsidR="000B3E0A">
        <w:t xml:space="preserve"> DVD) </w:t>
      </w:r>
      <w:r w:rsidRPr="001E5C61">
        <w:t xml:space="preserve">with the </w:t>
      </w:r>
      <w:r w:rsidR="002432D8">
        <w:t>i</w:t>
      </w:r>
      <w:r w:rsidRPr="001E5C61">
        <w:t>nvestigation.</w:t>
      </w:r>
    </w:p>
    <w:p w:rsidR="00EF11F3" w:rsidRDefault="00EF11F3" w:rsidP="00EF11F3">
      <w:pPr>
        <w:pStyle w:val="BodyText1"/>
      </w:pPr>
      <w:r>
        <w:t xml:space="preserve">Conversely, </w:t>
      </w:r>
      <w:r w:rsidR="00B751DA">
        <w:t>some</w:t>
      </w:r>
      <w:r>
        <w:t xml:space="preserve"> </w:t>
      </w:r>
      <w:r w:rsidR="002432D8">
        <w:t>p</w:t>
      </w:r>
      <w:r>
        <w:t xml:space="preserve">ractical </w:t>
      </w:r>
      <w:r w:rsidR="002432D8">
        <w:t>i</w:t>
      </w:r>
      <w:r>
        <w:t xml:space="preserve">nvestigations submitted </w:t>
      </w:r>
      <w:r w:rsidR="00B751DA">
        <w:t>contained only the evidence of completion of the task</w:t>
      </w:r>
      <w:r>
        <w:t xml:space="preserve"> (such as a video, how</w:t>
      </w:r>
      <w:r w:rsidR="002432D8">
        <w:t>-</w:t>
      </w:r>
      <w:r>
        <w:t xml:space="preserve">to guide, </w:t>
      </w:r>
      <w:r w:rsidR="002432D8">
        <w:t xml:space="preserve">or </w:t>
      </w:r>
      <w:r>
        <w:t xml:space="preserve">poster). This effectively demonstrates </w:t>
      </w:r>
      <w:r w:rsidR="002432D8">
        <w:t>k</w:t>
      </w:r>
      <w:r>
        <w:t xml:space="preserve">nowledge and </w:t>
      </w:r>
      <w:r w:rsidR="002432D8">
        <w:t>u</w:t>
      </w:r>
      <w:r>
        <w:t xml:space="preserve">nderstanding for most students, but almost completely neglects </w:t>
      </w:r>
      <w:r w:rsidR="002432D8">
        <w:t>i</w:t>
      </w:r>
      <w:r>
        <w:t xml:space="preserve">nvestigation and </w:t>
      </w:r>
      <w:r w:rsidR="002432D8">
        <w:t>a</w:t>
      </w:r>
      <w:r>
        <w:t>nalysis</w:t>
      </w:r>
      <w:r w:rsidR="002432D8">
        <w:t>,</w:t>
      </w:r>
      <w:r>
        <w:t xml:space="preserve"> and </w:t>
      </w:r>
      <w:r w:rsidR="002432D8">
        <w:t>r</w:t>
      </w:r>
      <w:r>
        <w:t xml:space="preserve">eflection and </w:t>
      </w:r>
      <w:r w:rsidR="002432D8">
        <w:t>e</w:t>
      </w:r>
      <w:r>
        <w:t>valuation.</w:t>
      </w:r>
      <w:r w:rsidR="00627A66">
        <w:t xml:space="preserve"> </w:t>
      </w:r>
      <w:r>
        <w:t xml:space="preserve">It is highly recommended that students completing a </w:t>
      </w:r>
      <w:r w:rsidR="002432D8">
        <w:t>p</w:t>
      </w:r>
      <w:r>
        <w:t xml:space="preserve">ractical </w:t>
      </w:r>
      <w:r w:rsidR="002432D8">
        <w:t>i</w:t>
      </w:r>
      <w:r>
        <w:t xml:space="preserve">nvestigation have a </w:t>
      </w:r>
      <w:r>
        <w:lastRenderedPageBreak/>
        <w:t>separate component that addresses each o</w:t>
      </w:r>
      <w:r w:rsidR="00D972F0">
        <w:t xml:space="preserve">f these </w:t>
      </w:r>
      <w:r w:rsidR="00B751DA">
        <w:t>assessment design criteria</w:t>
      </w:r>
      <w:r w:rsidR="00D972F0">
        <w:t xml:space="preserve"> in some way.</w:t>
      </w:r>
    </w:p>
    <w:p w:rsidR="00E31D3C" w:rsidRPr="001E5C61" w:rsidRDefault="00E31D3C" w:rsidP="00E31D3C">
      <w:pPr>
        <w:pStyle w:val="BodyText1"/>
      </w:pPr>
      <w:r w:rsidRPr="001E5C61">
        <w:t>Students who were most successful reflected on and evaluated the impact of their finished product o</w:t>
      </w:r>
      <w:r>
        <w:t>n</w:t>
      </w:r>
      <w:r w:rsidRPr="001E5C61">
        <w:t xml:space="preserve"> their learning, rather than merely discussing how well they completed a process. It was noted that where students utilised specific headings, such as </w:t>
      </w:r>
      <w:r w:rsidR="00B751DA">
        <w:t>‘</w:t>
      </w:r>
      <w:r w:rsidRPr="001E5C61">
        <w:t>Reflection and Evaluation</w:t>
      </w:r>
      <w:r w:rsidR="00B751DA">
        <w:t>’,</w:t>
      </w:r>
      <w:r w:rsidRPr="001E5C61">
        <w:t xml:space="preserve"> they were much more likely to meet this performance standard to a satisfactory standard.</w:t>
      </w:r>
    </w:p>
    <w:p w:rsidR="001A0F23" w:rsidRPr="000B51DE" w:rsidRDefault="00532959" w:rsidP="00A81CA3">
      <w:pPr>
        <w:pStyle w:val="Heading2"/>
      </w:pPr>
      <w:r>
        <w:t>Operational Advice</w:t>
      </w:r>
      <w:r w:rsidR="0083248D">
        <w:t xml:space="preserve"> – School Assessment</w:t>
      </w:r>
    </w:p>
    <w:p w:rsidR="00967183" w:rsidRPr="00476082" w:rsidRDefault="00967183" w:rsidP="00967183">
      <w:pPr>
        <w:pStyle w:val="BodyText1"/>
      </w:pPr>
      <w:r w:rsidRPr="00476082">
        <w:t>School assessment tasks are set and marked by teachers. Teachers’ assessment decisions are reviewed by moderators. Teacher grades/marks should be evident on all student school assessment work.</w:t>
      </w:r>
    </w:p>
    <w:p w:rsidR="00E31D3C" w:rsidRPr="00D972F0" w:rsidRDefault="00E31D3C" w:rsidP="00E31D3C">
      <w:pPr>
        <w:pStyle w:val="BodyText1"/>
      </w:pPr>
      <w:r w:rsidRPr="00D972F0">
        <w:t xml:space="preserve">Teachers are increasingly using the </w:t>
      </w:r>
      <w:r w:rsidR="002432D8">
        <w:t>a</w:t>
      </w:r>
      <w:r w:rsidRPr="00D972F0">
        <w:t xml:space="preserve">ddendum section of the </w:t>
      </w:r>
      <w:r w:rsidR="002432D8">
        <w:t>l</w:t>
      </w:r>
      <w:r w:rsidRPr="00D972F0">
        <w:t xml:space="preserve">earning and </w:t>
      </w:r>
      <w:r w:rsidR="002432D8">
        <w:t>a</w:t>
      </w:r>
      <w:r w:rsidRPr="00D972F0">
        <w:t xml:space="preserve">ssessment </w:t>
      </w:r>
      <w:r w:rsidR="002432D8">
        <w:t>p</w:t>
      </w:r>
      <w:r w:rsidRPr="00D972F0">
        <w:t xml:space="preserve">lan </w:t>
      </w:r>
      <w:r w:rsidR="002432D8">
        <w:t xml:space="preserve">(LAP) </w:t>
      </w:r>
      <w:r w:rsidRPr="00D972F0">
        <w:t xml:space="preserve">to indicate changes to their plan over the year. </w:t>
      </w:r>
      <w:r w:rsidR="0083248D">
        <w:t>This, at moderation, made it</w:t>
      </w:r>
      <w:r w:rsidRPr="00D972F0">
        <w:t xml:space="preserve"> evident that teachers had personalised the learning to meet the needs of all students in their </w:t>
      </w:r>
      <w:r w:rsidR="008C5814">
        <w:t>group</w:t>
      </w:r>
      <w:r w:rsidRPr="00D972F0">
        <w:t xml:space="preserve">. When coupled with the appropriate use of the Variations </w:t>
      </w:r>
      <w:r w:rsidR="008C5814">
        <w:t>—</w:t>
      </w:r>
      <w:r w:rsidRPr="00D972F0">
        <w:t xml:space="preserve"> Moderation Materials form, moderators were able to have a more complete picture of the </w:t>
      </w:r>
      <w:r w:rsidR="00967183">
        <w:t>students</w:t>
      </w:r>
      <w:r w:rsidR="008C5814">
        <w:t>, thus</w:t>
      </w:r>
      <w:r w:rsidRPr="00D972F0">
        <w:t xml:space="preserve"> helping in the confirmation of teacher standards.</w:t>
      </w:r>
    </w:p>
    <w:p w:rsidR="00E31D3C" w:rsidRPr="001E5C61" w:rsidRDefault="00E31D3C" w:rsidP="00E31D3C">
      <w:pPr>
        <w:pStyle w:val="BodyText1"/>
      </w:pPr>
      <w:r w:rsidRPr="001E5C61">
        <w:t>Packaging and presentation of materials</w:t>
      </w:r>
      <w:r w:rsidR="0083248D">
        <w:t xml:space="preserve"> for moderation</w:t>
      </w:r>
      <w:r w:rsidRPr="001E5C61">
        <w:t xml:space="preserve"> was generally done well</w:t>
      </w:r>
      <w:r>
        <w:t xml:space="preserve"> this year</w:t>
      </w:r>
      <w:r w:rsidR="008C5814">
        <w:t>.</w:t>
      </w:r>
      <w:r w:rsidRPr="001E5C61">
        <w:t xml:space="preserve"> </w:t>
      </w:r>
      <w:r w:rsidR="008C5814">
        <w:t>H</w:t>
      </w:r>
      <w:r w:rsidRPr="001E5C61">
        <w:t>owever</w:t>
      </w:r>
      <w:r w:rsidR="005F135F">
        <w:t>,</w:t>
      </w:r>
      <w:r w:rsidRPr="001E5C61">
        <w:t xml:space="preserve"> a few key items </w:t>
      </w:r>
      <w:r w:rsidR="005F135F">
        <w:t xml:space="preserve">for teachers </w:t>
      </w:r>
      <w:r w:rsidRPr="001E5C61">
        <w:t>to consider when packaging materials for final moderation are</w:t>
      </w:r>
      <w:r w:rsidR="00967183">
        <w:t xml:space="preserve"> listed below</w:t>
      </w:r>
      <w:r w:rsidRPr="001E5C61">
        <w:t>:</w:t>
      </w:r>
    </w:p>
    <w:p w:rsidR="00E31D3C" w:rsidRPr="00CC47C4" w:rsidRDefault="00C620E9" w:rsidP="00CC47C4">
      <w:pPr>
        <w:pStyle w:val="dotpoints"/>
        <w:numPr>
          <w:ilvl w:val="0"/>
          <w:numId w:val="20"/>
        </w:numPr>
        <w:tabs>
          <w:tab w:val="num" w:pos="360"/>
        </w:tabs>
        <w:ind w:left="360"/>
      </w:pPr>
      <w:r>
        <w:t>E</w:t>
      </w:r>
      <w:r w:rsidR="00E31D3C" w:rsidRPr="00CC47C4">
        <w:t xml:space="preserve">nsure that a complete set of task sheets is included along with the </w:t>
      </w:r>
      <w:r>
        <w:t>LAP</w:t>
      </w:r>
      <w:r w:rsidR="00E31D3C" w:rsidRPr="00CC47C4">
        <w:t xml:space="preserve">. This is important, especially if there are no cover sheets attached or </w:t>
      </w:r>
      <w:r w:rsidR="005F135F">
        <w:t>no</w:t>
      </w:r>
      <w:r w:rsidR="00E31D3C" w:rsidRPr="00CC47C4">
        <w:t xml:space="preserve"> indication of </w:t>
      </w:r>
      <w:r w:rsidR="005F135F">
        <w:t xml:space="preserve">which </w:t>
      </w:r>
      <w:r w:rsidR="00E31D3C" w:rsidRPr="00CC47C4">
        <w:t>assessment standards or which criteria have been assessed.</w:t>
      </w:r>
    </w:p>
    <w:p w:rsidR="00E31D3C" w:rsidRPr="00CC47C4" w:rsidRDefault="00C620E9" w:rsidP="00CC47C4">
      <w:pPr>
        <w:pStyle w:val="dotpoints"/>
        <w:numPr>
          <w:ilvl w:val="0"/>
          <w:numId w:val="20"/>
        </w:numPr>
        <w:tabs>
          <w:tab w:val="num" w:pos="360"/>
        </w:tabs>
        <w:ind w:left="360"/>
      </w:pPr>
      <w:r>
        <w:t>Ensure that s</w:t>
      </w:r>
      <w:r w:rsidR="00E31D3C" w:rsidRPr="00CC47C4">
        <w:t xml:space="preserve">tudent work is organised and preferably </w:t>
      </w:r>
      <w:r w:rsidR="00967183">
        <w:t xml:space="preserve">has </w:t>
      </w:r>
      <w:r w:rsidR="00E31D3C" w:rsidRPr="00CC47C4">
        <w:t>marks or assessment standards shaded by the teacher with supporting comments. This helps the moderation team to conf</w:t>
      </w:r>
      <w:r>
        <w:t>i</w:t>
      </w:r>
      <w:r w:rsidR="00E31D3C" w:rsidRPr="00CC47C4">
        <w:t>rm assessment decisions made by the teacher.</w:t>
      </w:r>
    </w:p>
    <w:p w:rsidR="00E31D3C" w:rsidRPr="00CC47C4" w:rsidRDefault="00E31D3C" w:rsidP="00CC47C4">
      <w:pPr>
        <w:pStyle w:val="dotpoints"/>
        <w:numPr>
          <w:ilvl w:val="0"/>
          <w:numId w:val="20"/>
        </w:numPr>
        <w:tabs>
          <w:tab w:val="num" w:pos="360"/>
        </w:tabs>
        <w:ind w:left="360"/>
      </w:pPr>
      <w:r w:rsidRPr="00CC47C4">
        <w:t>Ensure that all work is clearly labelled for each student. When tasks are missing, a Variations</w:t>
      </w:r>
      <w:r w:rsidR="00C620E9">
        <w:t xml:space="preserve"> — </w:t>
      </w:r>
      <w:r w:rsidRPr="00CC47C4">
        <w:t>Moderation Materials form must be included. Otherwise, it can be difficult to determine how grades were obtained and to verify teachers’ assessment decisions.</w:t>
      </w:r>
    </w:p>
    <w:p w:rsidR="00E31D3C" w:rsidRPr="00CC47C4" w:rsidRDefault="00E31D3C" w:rsidP="00CC47C4">
      <w:pPr>
        <w:pStyle w:val="dotpoints"/>
        <w:numPr>
          <w:ilvl w:val="0"/>
          <w:numId w:val="20"/>
        </w:numPr>
        <w:tabs>
          <w:tab w:val="num" w:pos="360"/>
        </w:tabs>
        <w:ind w:left="360"/>
      </w:pPr>
      <w:r w:rsidRPr="00CC47C4">
        <w:t>Ensure that</w:t>
      </w:r>
      <w:r w:rsidR="00FC5A73">
        <w:t>,</w:t>
      </w:r>
      <w:r w:rsidRPr="00CC47C4">
        <w:t xml:space="preserve"> for Assessment Type 2: Performance</w:t>
      </w:r>
      <w:r w:rsidR="00FC5A73">
        <w:t>,</w:t>
      </w:r>
      <w:r w:rsidRPr="00CC47C4">
        <w:t xml:space="preserve"> all </w:t>
      </w:r>
      <w:r w:rsidR="00FC5A73">
        <w:t xml:space="preserve">relevant </w:t>
      </w:r>
      <w:r w:rsidRPr="00CC47C4">
        <w:t>forms are included in the materials submitted for moderation. Th</w:t>
      </w:r>
      <w:r w:rsidR="007E136E">
        <w:t>ese</w:t>
      </w:r>
      <w:r w:rsidRPr="00CC47C4">
        <w:t xml:space="preserve"> include: Teacher</w:t>
      </w:r>
      <w:r w:rsidR="007E136E">
        <w:t>’s</w:t>
      </w:r>
      <w:r w:rsidRPr="00CC47C4">
        <w:t xml:space="preserve"> Report on Student Performance </w:t>
      </w:r>
      <w:r w:rsidR="00E554ED">
        <w:t>—</w:t>
      </w:r>
      <w:r w:rsidRPr="00CC47C4">
        <w:t xml:space="preserve"> Vocational Learning, </w:t>
      </w:r>
      <w:r w:rsidR="00E554ED">
        <w:t xml:space="preserve">Teacher’s Report on Student Performance — </w:t>
      </w:r>
      <w:r w:rsidRPr="00CC47C4">
        <w:t xml:space="preserve">VET, or </w:t>
      </w:r>
      <w:r w:rsidR="00B7577E">
        <w:t>Report on P</w:t>
      </w:r>
      <w:r w:rsidRPr="00CC47C4">
        <w:t xml:space="preserve">erformance as a </w:t>
      </w:r>
      <w:r w:rsidR="00B7577E">
        <w:t xml:space="preserve">Personal </w:t>
      </w:r>
      <w:r w:rsidRPr="00CC47C4">
        <w:t>Carer; Workplace Supervisor’s Report</w:t>
      </w:r>
      <w:r w:rsidR="007E136E">
        <w:t>,</w:t>
      </w:r>
      <w:r w:rsidRPr="00CC47C4">
        <w:t xml:space="preserve"> where applicable</w:t>
      </w:r>
      <w:r w:rsidR="007E136E">
        <w:t>;</w:t>
      </w:r>
      <w:r w:rsidRPr="00CC47C4">
        <w:t xml:space="preserve"> and Agreement to </w:t>
      </w:r>
      <w:r w:rsidR="00B7577E">
        <w:t>U</w:t>
      </w:r>
      <w:r w:rsidRPr="00CC47C4">
        <w:t>se Part</w:t>
      </w:r>
      <w:r w:rsidR="00B7577E">
        <w:t>-</w:t>
      </w:r>
      <w:r w:rsidRPr="00CC47C4">
        <w:t xml:space="preserve">time </w:t>
      </w:r>
      <w:r w:rsidR="00B7577E">
        <w:t>or</w:t>
      </w:r>
      <w:r w:rsidRPr="00CC47C4">
        <w:t xml:space="preserve"> </w:t>
      </w:r>
      <w:r w:rsidR="00B7577E">
        <w:t>C</w:t>
      </w:r>
      <w:r w:rsidRPr="00CC47C4">
        <w:t xml:space="preserve">asual </w:t>
      </w:r>
      <w:r w:rsidR="00B7577E">
        <w:t>E</w:t>
      </w:r>
      <w:r w:rsidRPr="00CC47C4">
        <w:t xml:space="preserve">mployment for </w:t>
      </w:r>
      <w:r w:rsidR="00B7577E">
        <w:t>S</w:t>
      </w:r>
      <w:r w:rsidRPr="00CC47C4">
        <w:t>tudy</w:t>
      </w:r>
      <w:r w:rsidR="00B672E3">
        <w:t>, where applicable</w:t>
      </w:r>
      <w:r w:rsidRPr="00CC47C4">
        <w:t>.</w:t>
      </w:r>
    </w:p>
    <w:p w:rsidR="00E31D3C" w:rsidRPr="00CC47C4" w:rsidRDefault="00E31D3C" w:rsidP="00CC47C4">
      <w:pPr>
        <w:pStyle w:val="dotpoints"/>
        <w:numPr>
          <w:ilvl w:val="0"/>
          <w:numId w:val="20"/>
        </w:numPr>
        <w:tabs>
          <w:tab w:val="num" w:pos="360"/>
        </w:tabs>
        <w:ind w:left="360"/>
      </w:pPr>
      <w:r w:rsidRPr="00CC47C4">
        <w:t>Schools that applied a maximum word</w:t>
      </w:r>
      <w:r w:rsidR="00C620E9">
        <w:t>-</w:t>
      </w:r>
      <w:r w:rsidRPr="00CC47C4">
        <w:t xml:space="preserve">limit often </w:t>
      </w:r>
      <w:r w:rsidR="0083248D">
        <w:t>limited</w:t>
      </w:r>
      <w:r w:rsidRPr="00CC47C4">
        <w:t xml:space="preserve"> the chance for students to succeed at a higher level against all the criteria. There are no stated word limits in the </w:t>
      </w:r>
      <w:r w:rsidR="00C620E9">
        <w:t>s</w:t>
      </w:r>
      <w:r w:rsidRPr="00CC47C4">
        <w:t xml:space="preserve">ubject </w:t>
      </w:r>
      <w:r w:rsidR="00C620E9">
        <w:t>o</w:t>
      </w:r>
      <w:r w:rsidRPr="00CC47C4">
        <w:t>utline</w:t>
      </w:r>
      <w:r w:rsidR="00C620E9">
        <w:t>,</w:t>
      </w:r>
      <w:r w:rsidRPr="00CC47C4">
        <w:t xml:space="preserve"> except for the </w:t>
      </w:r>
      <w:r w:rsidR="00C620E9">
        <w:t>e</w:t>
      </w:r>
      <w:r w:rsidRPr="00CC47C4">
        <w:t>xternal</w:t>
      </w:r>
      <w:r w:rsidR="00C620E9">
        <w:t>ly assessed</w:t>
      </w:r>
      <w:r w:rsidRPr="00CC47C4">
        <w:t xml:space="preserve"> </w:t>
      </w:r>
      <w:r w:rsidR="00C620E9">
        <w:t>i</w:t>
      </w:r>
      <w:r w:rsidRPr="00CC47C4">
        <w:t>nvestigation.</w:t>
      </w:r>
    </w:p>
    <w:p w:rsidR="00E75FF4" w:rsidRDefault="00E75FF4" w:rsidP="00E75FF4">
      <w:pPr>
        <w:pStyle w:val="BodyText1"/>
      </w:pPr>
      <w:r>
        <w:t xml:space="preserve">Offering students a </w:t>
      </w:r>
      <w:r w:rsidR="00D972F0">
        <w:t>range of</w:t>
      </w:r>
      <w:r>
        <w:t xml:space="preserve"> presentation methods </w:t>
      </w:r>
      <w:r w:rsidR="00C620E9">
        <w:t>—</w:t>
      </w:r>
      <w:r>
        <w:t xml:space="preserve"> </w:t>
      </w:r>
      <w:r w:rsidR="00967183">
        <w:t xml:space="preserve">written, </w:t>
      </w:r>
      <w:r>
        <w:t>oral</w:t>
      </w:r>
      <w:r w:rsidR="00967183">
        <w:t>,</w:t>
      </w:r>
      <w:r>
        <w:t xml:space="preserve"> or multimodal – can allow for better results.</w:t>
      </w:r>
    </w:p>
    <w:p w:rsidR="0083248D" w:rsidRPr="000B51DE" w:rsidRDefault="0083248D" w:rsidP="0083248D">
      <w:pPr>
        <w:pStyle w:val="Heading2"/>
      </w:pPr>
      <w:r>
        <w:t>Operational Advice – External Assessment</w:t>
      </w:r>
    </w:p>
    <w:p w:rsidR="0083248D" w:rsidRPr="00D972F0" w:rsidRDefault="0083248D" w:rsidP="0083248D">
      <w:pPr>
        <w:pStyle w:val="BodyText1"/>
      </w:pPr>
      <w:r w:rsidRPr="00D972F0">
        <w:t>It is important that the investigation is presented in the appropriate manner</w:t>
      </w:r>
      <w:r w:rsidR="00F61CED">
        <w:t xml:space="preserve"> for external assessment</w:t>
      </w:r>
      <w:r w:rsidRPr="00D972F0">
        <w:t>. This means:</w:t>
      </w:r>
    </w:p>
    <w:p w:rsidR="0083248D" w:rsidRPr="00CC47C4" w:rsidRDefault="00C620E9" w:rsidP="0083248D">
      <w:pPr>
        <w:pStyle w:val="dotpoints"/>
        <w:numPr>
          <w:ilvl w:val="0"/>
          <w:numId w:val="19"/>
        </w:numPr>
        <w:tabs>
          <w:tab w:val="num" w:pos="360"/>
        </w:tabs>
        <w:ind w:left="360"/>
      </w:pPr>
      <w:r>
        <w:lastRenderedPageBreak/>
        <w:t xml:space="preserve">the </w:t>
      </w:r>
      <w:r w:rsidR="0083248D">
        <w:t>e</w:t>
      </w:r>
      <w:r w:rsidR="0083248D" w:rsidRPr="00CC47C4">
        <w:t xml:space="preserve">xternal </w:t>
      </w:r>
      <w:r w:rsidR="0083248D">
        <w:t>a</w:t>
      </w:r>
      <w:r w:rsidR="0083248D" w:rsidRPr="00CC47C4">
        <w:t xml:space="preserve">ssessment </w:t>
      </w:r>
      <w:r w:rsidR="0083248D">
        <w:t>c</w:t>
      </w:r>
      <w:r w:rsidR="0083248D" w:rsidRPr="00CC47C4">
        <w:t>over</w:t>
      </w:r>
      <w:r>
        <w:t xml:space="preserve"> </w:t>
      </w:r>
      <w:r w:rsidR="0083248D" w:rsidRPr="00CC47C4">
        <w:t xml:space="preserve">sheet is attached with </w:t>
      </w:r>
      <w:r w:rsidR="0083248D">
        <w:t>i</w:t>
      </w:r>
      <w:r w:rsidR="0083248D" w:rsidRPr="00CC47C4">
        <w:t xml:space="preserve">ndustry </w:t>
      </w:r>
      <w:r w:rsidR="0083248D">
        <w:t>f</w:t>
      </w:r>
      <w:r w:rsidR="0083248D" w:rsidRPr="00CC47C4">
        <w:t>ocus, the question</w:t>
      </w:r>
      <w:r>
        <w:t>,</w:t>
      </w:r>
      <w:r w:rsidR="0083248D" w:rsidRPr="00CC47C4">
        <w:t xml:space="preserve"> and the </w:t>
      </w:r>
      <w:r w:rsidR="0083248D">
        <w:t>w</w:t>
      </w:r>
      <w:r w:rsidR="0083248D" w:rsidRPr="00CC47C4">
        <w:t>or</w:t>
      </w:r>
      <w:r w:rsidR="0083248D">
        <w:t>d</w:t>
      </w:r>
      <w:r>
        <w:t>-</w:t>
      </w:r>
      <w:r w:rsidR="0083248D">
        <w:t>c</w:t>
      </w:r>
      <w:r w:rsidR="0083248D" w:rsidRPr="00CC47C4">
        <w:t>ount clearly written</w:t>
      </w:r>
    </w:p>
    <w:p w:rsidR="0083248D" w:rsidRPr="00CC47C4" w:rsidRDefault="0083248D" w:rsidP="0083248D">
      <w:pPr>
        <w:pStyle w:val="dotpoints"/>
        <w:numPr>
          <w:ilvl w:val="0"/>
          <w:numId w:val="19"/>
        </w:numPr>
        <w:tabs>
          <w:tab w:val="num" w:pos="360"/>
        </w:tabs>
        <w:ind w:left="360"/>
      </w:pPr>
      <w:r w:rsidRPr="00CC47C4">
        <w:t>all work is de-identified</w:t>
      </w:r>
    </w:p>
    <w:p w:rsidR="0083248D" w:rsidRPr="00CC47C4" w:rsidRDefault="0083248D" w:rsidP="0083248D">
      <w:pPr>
        <w:pStyle w:val="dotpoints"/>
        <w:numPr>
          <w:ilvl w:val="0"/>
          <w:numId w:val="19"/>
        </w:numPr>
        <w:tabs>
          <w:tab w:val="num" w:pos="360"/>
        </w:tabs>
        <w:ind w:left="360"/>
      </w:pPr>
      <w:r>
        <w:t>a</w:t>
      </w:r>
      <w:r w:rsidRPr="00CC47C4">
        <w:t xml:space="preserve">ll work (including DVDs, USBs and other additional materials) </w:t>
      </w:r>
      <w:r w:rsidR="00967183">
        <w:t>is</w:t>
      </w:r>
      <w:r w:rsidRPr="00CC47C4">
        <w:t xml:space="preserve"> labelled with the correct SACE </w:t>
      </w:r>
      <w:r w:rsidR="00C620E9">
        <w:t>r</w:t>
      </w:r>
      <w:r>
        <w:t>egistration</w:t>
      </w:r>
      <w:r w:rsidRPr="00CC47C4">
        <w:t xml:space="preserve"> </w:t>
      </w:r>
      <w:r w:rsidR="00C620E9">
        <w:t>n</w:t>
      </w:r>
      <w:r w:rsidR="003F2661">
        <w:t>umber</w:t>
      </w:r>
    </w:p>
    <w:p w:rsidR="0083248D" w:rsidRPr="00CC47C4" w:rsidRDefault="0083248D" w:rsidP="0083248D">
      <w:pPr>
        <w:pStyle w:val="dotpoints"/>
        <w:numPr>
          <w:ilvl w:val="0"/>
          <w:numId w:val="19"/>
        </w:numPr>
        <w:tabs>
          <w:tab w:val="num" w:pos="360"/>
        </w:tabs>
        <w:ind w:left="360"/>
      </w:pPr>
      <w:r>
        <w:t>w</w:t>
      </w:r>
      <w:r w:rsidRPr="00CC47C4">
        <w:t>here print</w:t>
      </w:r>
      <w:r w:rsidR="00C620E9">
        <w:t>-</w:t>
      </w:r>
      <w:r w:rsidRPr="00CC47C4">
        <w:t xml:space="preserve">outs of additional information (such as PowerPoint </w:t>
      </w:r>
      <w:r>
        <w:t>p</w:t>
      </w:r>
      <w:r w:rsidRPr="00CC47C4">
        <w:t>resentation</w:t>
      </w:r>
      <w:r w:rsidR="00967183">
        <w:t>s</w:t>
      </w:r>
      <w:r w:rsidRPr="00CC47C4">
        <w:t xml:space="preserve">) </w:t>
      </w:r>
      <w:r w:rsidR="00FC5A73">
        <w:t>are</w:t>
      </w:r>
      <w:r w:rsidRPr="00CC47C4">
        <w:t xml:space="preserve"> provided, </w:t>
      </w:r>
      <w:r w:rsidR="00FC5A73">
        <w:t>text</w:t>
      </w:r>
      <w:r w:rsidRPr="00CC47C4">
        <w:t xml:space="preserve"> must be in a font size that can be read by the marker</w:t>
      </w:r>
      <w:r w:rsidR="00C620E9">
        <w:t>.</w:t>
      </w:r>
    </w:p>
    <w:p w:rsidR="001A0F23" w:rsidRPr="009306CE" w:rsidRDefault="001A0F23" w:rsidP="00A81CA3">
      <w:pPr>
        <w:pStyle w:val="Heading2"/>
      </w:pPr>
      <w:r>
        <w:t>General Comments</w:t>
      </w:r>
    </w:p>
    <w:p w:rsidR="00E31D3C" w:rsidRPr="00D972F0" w:rsidRDefault="00E554ED" w:rsidP="00D972F0">
      <w:pPr>
        <w:pStyle w:val="BodyText1"/>
      </w:pPr>
      <w:r>
        <w:t>I</w:t>
      </w:r>
      <w:r w:rsidR="00E31D3C" w:rsidRPr="00D972F0">
        <w:t xml:space="preserve">t is clear that the most successful </w:t>
      </w:r>
      <w:r w:rsidR="0083248D">
        <w:t>Workplace Practices programs</w:t>
      </w:r>
      <w:r w:rsidR="00E31D3C" w:rsidRPr="00D972F0">
        <w:t xml:space="preserve"> are those that </w:t>
      </w:r>
      <w:r w:rsidR="00077943">
        <w:t>can be tailored to and encompass</w:t>
      </w:r>
      <w:r w:rsidR="00E31D3C" w:rsidRPr="00D972F0">
        <w:t xml:space="preserve"> </w:t>
      </w:r>
      <w:r w:rsidR="00077943">
        <w:t xml:space="preserve">each </w:t>
      </w:r>
      <w:r w:rsidR="00E31D3C" w:rsidRPr="00D972F0">
        <w:t>student</w:t>
      </w:r>
      <w:r w:rsidR="00967183">
        <w:t>’</w:t>
      </w:r>
      <w:r w:rsidR="00E31D3C" w:rsidRPr="00D972F0">
        <w:t>s</w:t>
      </w:r>
      <w:r w:rsidR="00077943">
        <w:t xml:space="preserve"> individual </w:t>
      </w:r>
      <w:r w:rsidR="00E31D3C" w:rsidRPr="00D972F0">
        <w:t xml:space="preserve">industry focus. It is </w:t>
      </w:r>
      <w:r w:rsidR="007E136E">
        <w:t>apparent</w:t>
      </w:r>
      <w:r w:rsidR="007E136E" w:rsidRPr="00D972F0">
        <w:t xml:space="preserve"> </w:t>
      </w:r>
      <w:r w:rsidR="00E31D3C" w:rsidRPr="00D972F0">
        <w:t xml:space="preserve">that when </w:t>
      </w:r>
      <w:r w:rsidR="00B672E3">
        <w:t>student</w:t>
      </w:r>
      <w:r>
        <w:t>s</w:t>
      </w:r>
      <w:r w:rsidR="00B672E3">
        <w:t xml:space="preserve"> </w:t>
      </w:r>
      <w:r>
        <w:t xml:space="preserve">are </w:t>
      </w:r>
      <w:r w:rsidR="00B672E3">
        <w:t xml:space="preserve">supported to </w:t>
      </w:r>
      <w:r w:rsidR="00E31D3C" w:rsidRPr="00D972F0">
        <w:t xml:space="preserve">focus on a particular career or industry, </w:t>
      </w:r>
      <w:r>
        <w:t>they</w:t>
      </w:r>
      <w:r w:rsidR="00E31D3C" w:rsidRPr="00D972F0">
        <w:t xml:space="preserve"> are able to make meaning of their learning and can see the relevance of the topics covered in each </w:t>
      </w:r>
      <w:r w:rsidR="00077943">
        <w:t>a</w:t>
      </w:r>
      <w:r w:rsidR="00E31D3C" w:rsidRPr="00D972F0">
        <w:t xml:space="preserve">ssessment </w:t>
      </w:r>
      <w:r w:rsidR="00077943">
        <w:t>t</w:t>
      </w:r>
      <w:r w:rsidR="00E31D3C" w:rsidRPr="00D972F0">
        <w:t>ype.</w:t>
      </w:r>
    </w:p>
    <w:p w:rsidR="00E31D3C" w:rsidRPr="00D972F0" w:rsidRDefault="00E31D3C" w:rsidP="00D972F0">
      <w:pPr>
        <w:pStyle w:val="BodyText1"/>
      </w:pPr>
      <w:r w:rsidRPr="00D972F0">
        <w:t xml:space="preserve">It is also important that student learning such as VET </w:t>
      </w:r>
      <w:r w:rsidR="0083248D">
        <w:t>t</w:t>
      </w:r>
      <w:r w:rsidRPr="00D972F0">
        <w:t xml:space="preserve">raining and </w:t>
      </w:r>
      <w:r w:rsidR="0083248D">
        <w:t>w</w:t>
      </w:r>
      <w:r w:rsidRPr="00D972F0">
        <w:t xml:space="preserve">ork </w:t>
      </w:r>
      <w:r w:rsidR="0083248D">
        <w:t>p</w:t>
      </w:r>
      <w:r w:rsidRPr="00D972F0">
        <w:t xml:space="preserve">lacement </w:t>
      </w:r>
      <w:r w:rsidR="00967183">
        <w:t>are</w:t>
      </w:r>
      <w:r w:rsidRPr="00D972F0">
        <w:t xml:space="preserve"> undertaken in the same year in which the subject is taking place. </w:t>
      </w:r>
      <w:r w:rsidR="00077943">
        <w:t>T</w:t>
      </w:r>
      <w:r w:rsidRPr="00D972F0">
        <w:t xml:space="preserve">his ensures that work is being used only for this subject, that students have adequate recollection of their learning </w:t>
      </w:r>
      <w:r w:rsidR="00077943">
        <w:t xml:space="preserve">to effectively reflect and evaluate, </w:t>
      </w:r>
      <w:r w:rsidRPr="00D972F0">
        <w:t>and that the SACE Board can adequately determine that work or VET has not been used in other areas to contribute to a student’s SACE completion.</w:t>
      </w:r>
    </w:p>
    <w:p w:rsidR="00C620E9" w:rsidRDefault="00C620E9" w:rsidP="00A5184E">
      <w:pPr>
        <w:rPr>
          <w:rFonts w:ascii="Arial" w:hAnsi="Arial" w:cs="Arial"/>
          <w:szCs w:val="22"/>
        </w:rPr>
      </w:pPr>
    </w:p>
    <w:p w:rsidR="001A0F23" w:rsidRPr="00D972F0" w:rsidRDefault="00D972F0" w:rsidP="00A5184E">
      <w:pPr>
        <w:rPr>
          <w:rFonts w:ascii="Arial" w:hAnsi="Arial" w:cs="Arial"/>
          <w:szCs w:val="22"/>
        </w:rPr>
      </w:pPr>
      <w:r>
        <w:rPr>
          <w:rFonts w:ascii="Arial" w:hAnsi="Arial" w:cs="Arial"/>
          <w:szCs w:val="22"/>
        </w:rPr>
        <w:t>Workplace Practices</w:t>
      </w:r>
    </w:p>
    <w:p w:rsidR="00DC7C11" w:rsidRPr="00D972F0" w:rsidRDefault="001A0F23" w:rsidP="00D972F0">
      <w:pPr>
        <w:rPr>
          <w:rFonts w:ascii="Arial" w:hAnsi="Arial" w:cs="Arial"/>
          <w:szCs w:val="22"/>
        </w:rPr>
      </w:pPr>
      <w:r w:rsidRPr="00D972F0">
        <w:rPr>
          <w:rFonts w:ascii="Arial" w:hAnsi="Arial" w:cs="Arial"/>
          <w:szCs w:val="22"/>
        </w:rPr>
        <w:t>Chief Assessor</w:t>
      </w:r>
    </w:p>
    <w:sectPr w:rsidR="00DC7C11" w:rsidRPr="00D972F0" w:rsidSect="00D32C25">
      <w:footerReference w:type="default" r:id="rId14"/>
      <w:headerReference w:type="first" r:id="rId15"/>
      <w:footerReference w:type="first" r:id="rId16"/>
      <w:pgSz w:w="11907" w:h="16840" w:code="9"/>
      <w:pgMar w:top="1440" w:right="1797" w:bottom="1134"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47" w:rsidRDefault="00C50F47">
      <w:r>
        <w:separator/>
      </w:r>
    </w:p>
    <w:p w:rsidR="00C50F47" w:rsidRDefault="00C50F47"/>
  </w:endnote>
  <w:endnote w:type="continuationSeparator" w:id="0">
    <w:p w:rsidR="00C50F47" w:rsidRDefault="00C50F47">
      <w:r>
        <w:continuationSeparator/>
      </w:r>
    </w:p>
    <w:p w:rsidR="00C50F47" w:rsidRDefault="00C50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8" w:rsidRDefault="00A320C0">
    <w:pPr>
      <w:framePr w:wrap="around" w:vAnchor="text" w:hAnchor="margin" w:xAlign="center" w:y="1"/>
    </w:pPr>
    <w:r>
      <w:fldChar w:fldCharType="begin"/>
    </w:r>
    <w:r>
      <w:instrText xml:space="preserve">PAGE  </w:instrText>
    </w:r>
    <w:r>
      <w:fldChar w:fldCharType="separate"/>
    </w:r>
    <w:r w:rsidR="002432D8">
      <w:rPr>
        <w:noProof/>
      </w:rPr>
      <w:t>1</w:t>
    </w:r>
    <w:r>
      <w:rPr>
        <w:noProof/>
      </w:rPr>
      <w:fldChar w:fldCharType="end"/>
    </w:r>
  </w:p>
  <w:p w:rsidR="002432D8" w:rsidRDefault="002432D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8" w:rsidRDefault="00A320C0">
    <w:pPr>
      <w:framePr w:wrap="around" w:vAnchor="text" w:hAnchor="margin" w:xAlign="center" w:y="1"/>
    </w:pPr>
    <w:r>
      <w:fldChar w:fldCharType="begin"/>
    </w:r>
    <w:r>
      <w:instrText xml:space="preserve">PAGE  </w:instrText>
    </w:r>
    <w:r>
      <w:fldChar w:fldCharType="separate"/>
    </w:r>
    <w:r w:rsidR="002432D8">
      <w:rPr>
        <w:noProof/>
      </w:rPr>
      <w:t>1</w:t>
    </w:r>
    <w:r>
      <w:rPr>
        <w:noProof/>
      </w:rPr>
      <w:fldChar w:fldCharType="end"/>
    </w:r>
  </w:p>
  <w:p w:rsidR="002432D8" w:rsidRDefault="002432D8">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8" w:rsidRDefault="002432D8" w:rsidP="0054520B">
    <w:pPr>
      <w:pStyle w:val="CAFooter"/>
    </w:pPr>
    <w:r w:rsidRPr="00D972F0">
      <w:t>Workplace Practices 201</w:t>
    </w:r>
    <w:r>
      <w:t>5 Chief Assessor’s Report</w:t>
    </w:r>
    <w:r>
      <w:tab/>
    </w:r>
    <w:r w:rsidRPr="005B1FDF">
      <w:t xml:space="preserve">Page </w:t>
    </w:r>
    <w:r w:rsidR="00A320C0">
      <w:fldChar w:fldCharType="begin"/>
    </w:r>
    <w:r w:rsidR="00A320C0">
      <w:instrText xml:space="preserve"> PAGE </w:instrText>
    </w:r>
    <w:r w:rsidR="00A320C0">
      <w:fldChar w:fldCharType="separate"/>
    </w:r>
    <w:r w:rsidR="00D20ABD">
      <w:rPr>
        <w:noProof/>
      </w:rPr>
      <w:t>9</w:t>
    </w:r>
    <w:r w:rsidR="00A320C0">
      <w:rPr>
        <w:noProof/>
      </w:rPr>
      <w:fldChar w:fldCharType="end"/>
    </w:r>
    <w:r w:rsidRPr="005B1FDF">
      <w:t xml:space="preserve"> of </w:t>
    </w:r>
    <w:r w:rsidR="00A320C0">
      <w:fldChar w:fldCharType="begin"/>
    </w:r>
    <w:r w:rsidR="00A320C0">
      <w:instrText xml:space="preserve"> NUMPAGES </w:instrText>
    </w:r>
    <w:r w:rsidR="00A320C0">
      <w:fldChar w:fldCharType="separate"/>
    </w:r>
    <w:r w:rsidR="00D20ABD">
      <w:rPr>
        <w:noProof/>
      </w:rPr>
      <w:t>9</w:t>
    </w:r>
    <w:r w:rsidR="00A320C0">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8" w:rsidRDefault="00A320C0">
    <w:pPr>
      <w:framePr w:wrap="around" w:vAnchor="text" w:hAnchor="margin" w:xAlign="center" w:y="1"/>
    </w:pPr>
    <w:r>
      <w:fldChar w:fldCharType="begin"/>
    </w:r>
    <w:r>
      <w:instrText xml:space="preserve">PAGE  </w:instrText>
    </w:r>
    <w:r>
      <w:fldChar w:fldCharType="separate"/>
    </w:r>
    <w:r w:rsidR="002432D8">
      <w:rPr>
        <w:noProof/>
      </w:rPr>
      <w:t>1</w:t>
    </w:r>
    <w:r>
      <w:rPr>
        <w:noProof/>
      </w:rPr>
      <w:fldChar w:fldCharType="end"/>
    </w:r>
  </w:p>
  <w:p w:rsidR="002432D8" w:rsidRDefault="002432D8"/>
  <w:p w:rsidR="002432D8" w:rsidRDefault="002432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47" w:rsidRDefault="00C50F47">
      <w:r>
        <w:separator/>
      </w:r>
    </w:p>
    <w:p w:rsidR="00C50F47" w:rsidRDefault="00C50F47"/>
  </w:footnote>
  <w:footnote w:type="continuationSeparator" w:id="0">
    <w:p w:rsidR="00C50F47" w:rsidRDefault="00C50F47">
      <w:r>
        <w:continuationSeparator/>
      </w:r>
    </w:p>
    <w:p w:rsidR="00C50F47" w:rsidRDefault="00C50F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8" w:rsidRDefault="002432D8">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8" w:rsidRDefault="002432D8">
    <w:pPr>
      <w:ind w:right="360"/>
    </w:pPr>
  </w:p>
  <w:p w:rsidR="002432D8" w:rsidRDefault="002432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4181A55"/>
    <w:multiLevelType w:val="hybridMultilevel"/>
    <w:tmpl w:val="ADD42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3378B6"/>
    <w:multiLevelType w:val="hybridMultilevel"/>
    <w:tmpl w:val="4168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950B30"/>
    <w:multiLevelType w:val="hybridMultilevel"/>
    <w:tmpl w:val="A0CE95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666F7ACC"/>
    <w:multiLevelType w:val="hybridMultilevel"/>
    <w:tmpl w:val="6ECAA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AD24A84"/>
    <w:multiLevelType w:val="hybridMultilevel"/>
    <w:tmpl w:val="CFFEB8D0"/>
    <w:lvl w:ilvl="0" w:tplc="BA94430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3FE26FB"/>
    <w:multiLevelType w:val="hybridMultilevel"/>
    <w:tmpl w:val="79C4F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BF96517"/>
    <w:multiLevelType w:val="hybridMultilevel"/>
    <w:tmpl w:val="6F86EA78"/>
    <w:lvl w:ilvl="0" w:tplc="B832F6AC">
      <w:start w:val="1"/>
      <w:numFmt w:val="bullet"/>
      <w:pStyle w:val="SOFinalBullets"/>
      <w:lvlText w:val=""/>
      <w:lvlJc w:val="left"/>
      <w:pPr>
        <w:tabs>
          <w:tab w:val="num" w:pos="510"/>
        </w:tabs>
        <w:ind w:left="510" w:hanging="170"/>
      </w:pPr>
      <w:rPr>
        <w:rFonts w:ascii="Symbol" w:hAnsi="Symbol" w:hint="default"/>
        <w:color w:val="000000"/>
        <w:sz w:val="16"/>
      </w:rPr>
    </w:lvl>
    <w:lvl w:ilvl="1" w:tplc="0C090003" w:tentative="1">
      <w:start w:val="1"/>
      <w:numFmt w:val="bullet"/>
      <w:lvlText w:val="o"/>
      <w:lvlJc w:val="left"/>
      <w:pPr>
        <w:tabs>
          <w:tab w:val="num" w:pos="1780"/>
        </w:tabs>
        <w:ind w:left="1780" w:hanging="360"/>
      </w:pPr>
      <w:rPr>
        <w:rFonts w:ascii="Courier New" w:hAnsi="Courier New" w:cs="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cs="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cs="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num w:numId="1">
    <w:abstractNumId w:val="12"/>
  </w:num>
  <w:num w:numId="2">
    <w:abstractNumId w:val="10"/>
  </w:num>
  <w:num w:numId="3">
    <w:abstractNumId w:val="17"/>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8"/>
  </w:num>
  <w:num w:numId="17">
    <w:abstractNumId w:val="19"/>
  </w:num>
  <w:num w:numId="18">
    <w:abstractNumId w:val="15"/>
  </w:num>
  <w:num w:numId="19">
    <w:abstractNumId w:val="14"/>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ge">
    <w15:presenceInfo w15:providerId="AD" w15:userId="S-1-5-21-920487387-3454508604-833772281-1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16EFA"/>
    <w:rsid w:val="00033664"/>
    <w:rsid w:val="00043245"/>
    <w:rsid w:val="0004325A"/>
    <w:rsid w:val="00054F9D"/>
    <w:rsid w:val="00061DAE"/>
    <w:rsid w:val="0007081C"/>
    <w:rsid w:val="00077943"/>
    <w:rsid w:val="000A7E3A"/>
    <w:rsid w:val="000B1C42"/>
    <w:rsid w:val="000B3E0A"/>
    <w:rsid w:val="000B51DE"/>
    <w:rsid w:val="000C2365"/>
    <w:rsid w:val="000C3880"/>
    <w:rsid w:val="000E4E6A"/>
    <w:rsid w:val="00100A56"/>
    <w:rsid w:val="0010157A"/>
    <w:rsid w:val="001104A2"/>
    <w:rsid w:val="00113786"/>
    <w:rsid w:val="001138EE"/>
    <w:rsid w:val="001169CF"/>
    <w:rsid w:val="001474AD"/>
    <w:rsid w:val="00160240"/>
    <w:rsid w:val="00165AA5"/>
    <w:rsid w:val="001A03C8"/>
    <w:rsid w:val="001A0F23"/>
    <w:rsid w:val="001B0589"/>
    <w:rsid w:val="001B602D"/>
    <w:rsid w:val="001C65C8"/>
    <w:rsid w:val="001C7099"/>
    <w:rsid w:val="001F3325"/>
    <w:rsid w:val="001F4153"/>
    <w:rsid w:val="001F6CC1"/>
    <w:rsid w:val="00204291"/>
    <w:rsid w:val="002042D6"/>
    <w:rsid w:val="002251CC"/>
    <w:rsid w:val="00225FC5"/>
    <w:rsid w:val="002432D8"/>
    <w:rsid w:val="00247A2D"/>
    <w:rsid w:val="0025760F"/>
    <w:rsid w:val="00257958"/>
    <w:rsid w:val="00271D87"/>
    <w:rsid w:val="00281B03"/>
    <w:rsid w:val="00287FAC"/>
    <w:rsid w:val="002948CC"/>
    <w:rsid w:val="002A00B7"/>
    <w:rsid w:val="002A21C2"/>
    <w:rsid w:val="002B0B25"/>
    <w:rsid w:val="002B4579"/>
    <w:rsid w:val="002B625C"/>
    <w:rsid w:val="002C5A36"/>
    <w:rsid w:val="002C62D8"/>
    <w:rsid w:val="00312191"/>
    <w:rsid w:val="00314073"/>
    <w:rsid w:val="003463FB"/>
    <w:rsid w:val="00355FAC"/>
    <w:rsid w:val="00361710"/>
    <w:rsid w:val="00361D31"/>
    <w:rsid w:val="003671C1"/>
    <w:rsid w:val="00371B22"/>
    <w:rsid w:val="00372D5E"/>
    <w:rsid w:val="003B6C47"/>
    <w:rsid w:val="003C7581"/>
    <w:rsid w:val="003E050D"/>
    <w:rsid w:val="003F2661"/>
    <w:rsid w:val="004875CD"/>
    <w:rsid w:val="004A46A6"/>
    <w:rsid w:val="004D0F80"/>
    <w:rsid w:val="004D2A53"/>
    <w:rsid w:val="004D53DE"/>
    <w:rsid w:val="004E6599"/>
    <w:rsid w:val="004E77C7"/>
    <w:rsid w:val="00513CF6"/>
    <w:rsid w:val="0053196F"/>
    <w:rsid w:val="00532959"/>
    <w:rsid w:val="00533FA8"/>
    <w:rsid w:val="00535F1F"/>
    <w:rsid w:val="00544E52"/>
    <w:rsid w:val="0054520B"/>
    <w:rsid w:val="00560F4B"/>
    <w:rsid w:val="00574A4E"/>
    <w:rsid w:val="005879E3"/>
    <w:rsid w:val="00597399"/>
    <w:rsid w:val="005B1FDF"/>
    <w:rsid w:val="005D713B"/>
    <w:rsid w:val="005F135F"/>
    <w:rsid w:val="00603E07"/>
    <w:rsid w:val="00613FDD"/>
    <w:rsid w:val="006246EA"/>
    <w:rsid w:val="00627164"/>
    <w:rsid w:val="00627A66"/>
    <w:rsid w:val="0066363A"/>
    <w:rsid w:val="00663BA6"/>
    <w:rsid w:val="00665E84"/>
    <w:rsid w:val="006829AF"/>
    <w:rsid w:val="006875B7"/>
    <w:rsid w:val="006951B8"/>
    <w:rsid w:val="006C05E2"/>
    <w:rsid w:val="006C3FEB"/>
    <w:rsid w:val="006D46C9"/>
    <w:rsid w:val="006D663D"/>
    <w:rsid w:val="006E5D6A"/>
    <w:rsid w:val="0072189E"/>
    <w:rsid w:val="00735CE9"/>
    <w:rsid w:val="00744570"/>
    <w:rsid w:val="00757A06"/>
    <w:rsid w:val="0079634D"/>
    <w:rsid w:val="007C16AD"/>
    <w:rsid w:val="007E136E"/>
    <w:rsid w:val="007E5CE9"/>
    <w:rsid w:val="00805E85"/>
    <w:rsid w:val="00814A7B"/>
    <w:rsid w:val="0083248D"/>
    <w:rsid w:val="00832A1F"/>
    <w:rsid w:val="0083404B"/>
    <w:rsid w:val="008340F3"/>
    <w:rsid w:val="00847D4F"/>
    <w:rsid w:val="008621DC"/>
    <w:rsid w:val="00875BCA"/>
    <w:rsid w:val="0089575B"/>
    <w:rsid w:val="008A5BDE"/>
    <w:rsid w:val="008C5814"/>
    <w:rsid w:val="008D4935"/>
    <w:rsid w:val="008D6093"/>
    <w:rsid w:val="008F68EB"/>
    <w:rsid w:val="009306CE"/>
    <w:rsid w:val="00937CB6"/>
    <w:rsid w:val="00951B11"/>
    <w:rsid w:val="00967183"/>
    <w:rsid w:val="00975373"/>
    <w:rsid w:val="009867AC"/>
    <w:rsid w:val="00987FA9"/>
    <w:rsid w:val="009A443D"/>
    <w:rsid w:val="009A4917"/>
    <w:rsid w:val="009A4C53"/>
    <w:rsid w:val="009B44BF"/>
    <w:rsid w:val="009B5EE0"/>
    <w:rsid w:val="009C1816"/>
    <w:rsid w:val="009D13AD"/>
    <w:rsid w:val="009D1773"/>
    <w:rsid w:val="009F4384"/>
    <w:rsid w:val="009F46F7"/>
    <w:rsid w:val="009F78D3"/>
    <w:rsid w:val="00A137E9"/>
    <w:rsid w:val="00A237D1"/>
    <w:rsid w:val="00A320C0"/>
    <w:rsid w:val="00A46CE2"/>
    <w:rsid w:val="00A51261"/>
    <w:rsid w:val="00A5184E"/>
    <w:rsid w:val="00A53EB2"/>
    <w:rsid w:val="00A609A1"/>
    <w:rsid w:val="00A74970"/>
    <w:rsid w:val="00A81CA3"/>
    <w:rsid w:val="00A83741"/>
    <w:rsid w:val="00A8612A"/>
    <w:rsid w:val="00A909EC"/>
    <w:rsid w:val="00A956BA"/>
    <w:rsid w:val="00AB1BDE"/>
    <w:rsid w:val="00AB5993"/>
    <w:rsid w:val="00AB63FF"/>
    <w:rsid w:val="00AF1476"/>
    <w:rsid w:val="00AF65CA"/>
    <w:rsid w:val="00B13D3E"/>
    <w:rsid w:val="00B1461F"/>
    <w:rsid w:val="00B33D30"/>
    <w:rsid w:val="00B37AB5"/>
    <w:rsid w:val="00B465D0"/>
    <w:rsid w:val="00B5383C"/>
    <w:rsid w:val="00B55E8B"/>
    <w:rsid w:val="00B640D2"/>
    <w:rsid w:val="00B672E3"/>
    <w:rsid w:val="00B67430"/>
    <w:rsid w:val="00B7041D"/>
    <w:rsid w:val="00B751DA"/>
    <w:rsid w:val="00B7577E"/>
    <w:rsid w:val="00B80EDC"/>
    <w:rsid w:val="00B83BF9"/>
    <w:rsid w:val="00B875B8"/>
    <w:rsid w:val="00BA47C5"/>
    <w:rsid w:val="00BF4A41"/>
    <w:rsid w:val="00C01636"/>
    <w:rsid w:val="00C262E0"/>
    <w:rsid w:val="00C36140"/>
    <w:rsid w:val="00C40D14"/>
    <w:rsid w:val="00C50F47"/>
    <w:rsid w:val="00C61173"/>
    <w:rsid w:val="00C620E9"/>
    <w:rsid w:val="00C7226C"/>
    <w:rsid w:val="00C74D02"/>
    <w:rsid w:val="00C7506F"/>
    <w:rsid w:val="00C86F95"/>
    <w:rsid w:val="00C87071"/>
    <w:rsid w:val="00C878D2"/>
    <w:rsid w:val="00C91C12"/>
    <w:rsid w:val="00C94D01"/>
    <w:rsid w:val="00CA1D18"/>
    <w:rsid w:val="00CC03DA"/>
    <w:rsid w:val="00CC2D01"/>
    <w:rsid w:val="00CC47C4"/>
    <w:rsid w:val="00CD2830"/>
    <w:rsid w:val="00CD32DE"/>
    <w:rsid w:val="00CD6252"/>
    <w:rsid w:val="00CE1455"/>
    <w:rsid w:val="00CF3716"/>
    <w:rsid w:val="00D05BBA"/>
    <w:rsid w:val="00D108CB"/>
    <w:rsid w:val="00D20ABD"/>
    <w:rsid w:val="00D27BE6"/>
    <w:rsid w:val="00D32C25"/>
    <w:rsid w:val="00D35DA9"/>
    <w:rsid w:val="00D37D8E"/>
    <w:rsid w:val="00D71030"/>
    <w:rsid w:val="00D955A0"/>
    <w:rsid w:val="00D972F0"/>
    <w:rsid w:val="00DA62AE"/>
    <w:rsid w:val="00DB0401"/>
    <w:rsid w:val="00DB5AF3"/>
    <w:rsid w:val="00DB6E71"/>
    <w:rsid w:val="00DC7C11"/>
    <w:rsid w:val="00DD19CB"/>
    <w:rsid w:val="00DD7C09"/>
    <w:rsid w:val="00DF2E21"/>
    <w:rsid w:val="00DF42D8"/>
    <w:rsid w:val="00E122A9"/>
    <w:rsid w:val="00E22164"/>
    <w:rsid w:val="00E253E3"/>
    <w:rsid w:val="00E261D1"/>
    <w:rsid w:val="00E31D3C"/>
    <w:rsid w:val="00E4274D"/>
    <w:rsid w:val="00E554ED"/>
    <w:rsid w:val="00E55E7F"/>
    <w:rsid w:val="00E61CD2"/>
    <w:rsid w:val="00E672A4"/>
    <w:rsid w:val="00E75FF4"/>
    <w:rsid w:val="00E76CCB"/>
    <w:rsid w:val="00E87E9A"/>
    <w:rsid w:val="00E918B3"/>
    <w:rsid w:val="00E9608B"/>
    <w:rsid w:val="00EA125F"/>
    <w:rsid w:val="00EB12C8"/>
    <w:rsid w:val="00EC7103"/>
    <w:rsid w:val="00EF11F3"/>
    <w:rsid w:val="00EF31AB"/>
    <w:rsid w:val="00EF3901"/>
    <w:rsid w:val="00EF51B8"/>
    <w:rsid w:val="00F02D47"/>
    <w:rsid w:val="00F15D68"/>
    <w:rsid w:val="00F37DE2"/>
    <w:rsid w:val="00F40691"/>
    <w:rsid w:val="00F5454B"/>
    <w:rsid w:val="00F548AA"/>
    <w:rsid w:val="00F5721C"/>
    <w:rsid w:val="00F61CED"/>
    <w:rsid w:val="00F652FD"/>
    <w:rsid w:val="00F802C4"/>
    <w:rsid w:val="00FA4B20"/>
    <w:rsid w:val="00FA5691"/>
    <w:rsid w:val="00FB25E0"/>
    <w:rsid w:val="00FB52E5"/>
    <w:rsid w:val="00FC4223"/>
    <w:rsid w:val="00FC5A73"/>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SOFinalBodyText">
    <w:name w:val="SO Final Body Text"/>
    <w:link w:val="SOFinalBodyTextCharChar"/>
    <w:rsid w:val="006E5D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6E5D6A"/>
    <w:rPr>
      <w:rFonts w:ascii="Arial" w:hAnsi="Arial"/>
      <w:color w:val="000000"/>
      <w:szCs w:val="24"/>
      <w:lang w:val="en-US" w:eastAsia="en-US"/>
    </w:rPr>
  </w:style>
  <w:style w:type="paragraph" w:styleId="ListParagraph">
    <w:name w:val="List Paragraph"/>
    <w:basedOn w:val="Normal"/>
    <w:uiPriority w:val="34"/>
    <w:qFormat/>
    <w:rsid w:val="00CD2830"/>
    <w:pPr>
      <w:ind w:left="720"/>
      <w:contextualSpacing/>
    </w:pPr>
  </w:style>
  <w:style w:type="character" w:styleId="Hyperlink">
    <w:name w:val="Hyperlink"/>
    <w:basedOn w:val="DefaultParagraphFont"/>
    <w:unhideWhenUsed/>
    <w:rsid w:val="00CD2830"/>
    <w:rPr>
      <w:color w:val="0000FF" w:themeColor="hyperlink"/>
      <w:u w:val="single"/>
    </w:rPr>
  </w:style>
  <w:style w:type="paragraph" w:customStyle="1" w:styleId="SOFinalBullets">
    <w:name w:val="SO Final Bullets"/>
    <w:link w:val="SOFinalBulletsCharChar"/>
    <w:autoRedefine/>
    <w:rsid w:val="00F37DE2"/>
    <w:pPr>
      <w:numPr>
        <w:numId w:val="17"/>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F37DE2"/>
    <w:rPr>
      <w:rFonts w:ascii="Arial" w:eastAsia="MS Mincho" w:hAnsi="Arial" w:cs="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SOFinalBodyText">
    <w:name w:val="SO Final Body Text"/>
    <w:link w:val="SOFinalBodyTextCharChar"/>
    <w:rsid w:val="006E5D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6E5D6A"/>
    <w:rPr>
      <w:rFonts w:ascii="Arial" w:hAnsi="Arial"/>
      <w:color w:val="000000"/>
      <w:szCs w:val="24"/>
      <w:lang w:val="en-US" w:eastAsia="en-US"/>
    </w:rPr>
  </w:style>
  <w:style w:type="paragraph" w:styleId="ListParagraph">
    <w:name w:val="List Paragraph"/>
    <w:basedOn w:val="Normal"/>
    <w:uiPriority w:val="34"/>
    <w:qFormat/>
    <w:rsid w:val="00CD2830"/>
    <w:pPr>
      <w:ind w:left="720"/>
      <w:contextualSpacing/>
    </w:pPr>
  </w:style>
  <w:style w:type="character" w:styleId="Hyperlink">
    <w:name w:val="Hyperlink"/>
    <w:basedOn w:val="DefaultParagraphFont"/>
    <w:unhideWhenUsed/>
    <w:rsid w:val="00CD2830"/>
    <w:rPr>
      <w:color w:val="0000FF" w:themeColor="hyperlink"/>
      <w:u w:val="single"/>
    </w:rPr>
  </w:style>
  <w:style w:type="paragraph" w:customStyle="1" w:styleId="SOFinalBullets">
    <w:name w:val="SO Final Bullets"/>
    <w:link w:val="SOFinalBulletsCharChar"/>
    <w:autoRedefine/>
    <w:rsid w:val="00F37DE2"/>
    <w:pPr>
      <w:numPr>
        <w:numId w:val="17"/>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F37DE2"/>
    <w:rPr>
      <w:rFonts w:ascii="Arial" w:eastAsia="MS Mincho" w:hAnsi="Arial" w:cs="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ce.sa.edu.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87C6DD6-5516-4BC0-85AF-ADEE39ED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38</TotalTime>
  <Pages>9</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23373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Chris May</cp:lastModifiedBy>
  <cp:revision>7</cp:revision>
  <cp:lastPrinted>2015-01-06T05:25:00Z</cp:lastPrinted>
  <dcterms:created xsi:type="dcterms:W3CDTF">2016-02-08T08:35:00Z</dcterms:created>
  <dcterms:modified xsi:type="dcterms:W3CDTF">2016-02-22T23:51:00Z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A491933</vt:lpwstr>
  </property>
  <property fmtid="{D5CDD505-2E9C-101B-9397-08002B2CF9AE}" pid="3" name="Objective-Comment">
    <vt:lpwstr/>
  </property>
  <property fmtid="{D5CDD505-2E9C-101B-9397-08002B2CF9AE}" pid="4" name="Objective-CreationStamp">
    <vt:filetime>2015-12-15T22:27:16Z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2016-02-22T23:50:12Z</vt:filetime>
  </property>
  <property fmtid="{D5CDD505-2E9C-101B-9397-08002B2CF9AE}" pid="9" name="Objective-Owner">
    <vt:lpwstr>Chris May</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Workplace Practices Chief Assessor's Report</vt:lpwstr>
  </property>
  <property fmtid="{D5CDD505-2E9C-101B-9397-08002B2CF9AE}" pid="14" name="Objective-Version">
    <vt:lpwstr>0.8</vt:lpwstr>
  </property>
  <property fmtid="{D5CDD505-2E9C-101B-9397-08002B2CF9AE}" pid="15" name="Objective-VersionComment">
    <vt:lpwstr/>
  </property>
  <property fmtid="{D5CDD505-2E9C-101B-9397-08002B2CF9AE}" pid="16" name="Objective-VersionNumber">
    <vt:r8>8</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