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877E8" w14:textId="77777777" w:rsidR="003A0AC1" w:rsidRPr="003A0AC1" w:rsidRDefault="003A0AC1">
      <w:pPr>
        <w:rPr>
          <w:rFonts w:ascii="Lato" w:hAnsi="Lato"/>
          <w:b/>
          <w:sz w:val="26"/>
          <w:szCs w:val="24"/>
        </w:rPr>
      </w:pPr>
      <w:r w:rsidRPr="003A0AC1">
        <w:rPr>
          <w:rFonts w:ascii="Lato" w:hAnsi="Lato"/>
          <w:b/>
          <w:sz w:val="26"/>
          <w:szCs w:val="24"/>
        </w:rPr>
        <w:t>Stage 2 Legal Studies (from 2021)</w:t>
      </w:r>
    </w:p>
    <w:p w14:paraId="191F33F7" w14:textId="52F07800" w:rsidR="009A5CC8" w:rsidRPr="003A0AC1" w:rsidRDefault="001A40B0">
      <w:pPr>
        <w:rPr>
          <w:rFonts w:ascii="Lato" w:hAnsi="Lato"/>
          <w:b/>
        </w:rPr>
      </w:pPr>
      <w:r w:rsidRPr="003A0AC1">
        <w:rPr>
          <w:rFonts w:ascii="Lato" w:hAnsi="Lato"/>
          <w:b/>
        </w:rPr>
        <w:t>Example unit of work</w:t>
      </w:r>
    </w:p>
    <w:p w14:paraId="5D194FF6" w14:textId="437AEE7F" w:rsidR="001A40B0" w:rsidRPr="003A0AC1" w:rsidRDefault="00A84D47">
      <w:pPr>
        <w:rPr>
          <w:rFonts w:ascii="Lato" w:hAnsi="Lato"/>
        </w:rPr>
      </w:pPr>
      <w:r w:rsidRPr="003A0AC1">
        <w:rPr>
          <w:rFonts w:ascii="Lato" w:hAnsi="Lato"/>
        </w:rPr>
        <w:t>Focus Area 2</w:t>
      </w:r>
      <w:r w:rsidR="001A40B0" w:rsidRPr="003A0AC1">
        <w:rPr>
          <w:rFonts w:ascii="Lato" w:hAnsi="Lato"/>
        </w:rPr>
        <w:t xml:space="preserve">: </w:t>
      </w:r>
      <w:r w:rsidRPr="003A0AC1">
        <w:rPr>
          <w:rFonts w:ascii="Lato" w:hAnsi="Lato"/>
        </w:rPr>
        <w:t>Dispute Resolution</w:t>
      </w:r>
      <w:r w:rsidR="00E439CF" w:rsidRPr="003A0AC1">
        <w:rPr>
          <w:rFonts w:ascii="Lato" w:hAnsi="Lato"/>
        </w:rPr>
        <w:t xml:space="preserve"> – Two options modelled</w:t>
      </w:r>
    </w:p>
    <w:p w14:paraId="446E3384" w14:textId="7A9B09FD" w:rsidR="00A84D47" w:rsidRPr="003A0AC1" w:rsidRDefault="001A40B0">
      <w:pPr>
        <w:rPr>
          <w:rFonts w:ascii="Lato" w:hAnsi="Lato"/>
        </w:rPr>
      </w:pPr>
      <w:r w:rsidRPr="003A0AC1">
        <w:rPr>
          <w:rFonts w:ascii="Lato" w:hAnsi="Lato"/>
        </w:rPr>
        <w:t>Big Question</w:t>
      </w:r>
      <w:r w:rsidR="00E439CF" w:rsidRPr="003A0AC1">
        <w:rPr>
          <w:rFonts w:ascii="Lato" w:hAnsi="Lato"/>
        </w:rPr>
        <w:t xml:space="preserve"> 1</w:t>
      </w:r>
      <w:r w:rsidRPr="003A0AC1">
        <w:rPr>
          <w:rFonts w:ascii="Lato" w:hAnsi="Lato"/>
        </w:rPr>
        <w:t xml:space="preserve">: </w:t>
      </w:r>
      <w:r w:rsidR="00A84D47" w:rsidRPr="003A0AC1">
        <w:rPr>
          <w:rFonts w:ascii="Lato" w:hAnsi="Lato"/>
          <w:b/>
        </w:rPr>
        <w:t xml:space="preserve">Are too many rights afforded to an accused person in the adversarial system of trial? </w:t>
      </w:r>
      <w:r w:rsidRPr="003A0AC1">
        <w:rPr>
          <w:rFonts w:ascii="Lato" w:hAnsi="Lato"/>
        </w:rPr>
        <w:t xml:space="preserve"> </w:t>
      </w:r>
    </w:p>
    <w:p w14:paraId="70FC06B5" w14:textId="0B35667D" w:rsidR="00A84D47" w:rsidRPr="003A0AC1" w:rsidRDefault="00A84D47">
      <w:pPr>
        <w:rPr>
          <w:rFonts w:ascii="Lato" w:hAnsi="Lato"/>
        </w:rPr>
      </w:pPr>
      <w:r w:rsidRPr="003A0AC1">
        <w:rPr>
          <w:rFonts w:ascii="Lato" w:hAnsi="Lato"/>
        </w:rPr>
        <w:t>When evaluating rights of the accused, students develop an understanding of the legal rights and responsibilities different dispute resolution systems value.  When we invest</w:t>
      </w:r>
      <w:r w:rsidR="00E92D49" w:rsidRPr="003A0AC1">
        <w:rPr>
          <w:rFonts w:ascii="Lato" w:hAnsi="Lato"/>
        </w:rPr>
        <w:t xml:space="preserve">igate diverse relationships between legal entities, we can evaluate the necessity of individual legal rights where they conflict with the rights of another.  </w:t>
      </w:r>
    </w:p>
    <w:p w14:paraId="766A7CA1" w14:textId="1942EAE3" w:rsidR="00E92D49" w:rsidRPr="003A0AC1" w:rsidRDefault="00E92D49" w:rsidP="00E92D49">
      <w:pPr>
        <w:rPr>
          <w:rFonts w:ascii="Lato" w:hAnsi="Lato"/>
        </w:rPr>
      </w:pPr>
      <w:r w:rsidRPr="003A0AC1">
        <w:rPr>
          <w:rFonts w:ascii="Lato" w:hAnsi="Lato"/>
        </w:rPr>
        <w:t xml:space="preserve">In focusing on </w:t>
      </w:r>
      <w:r w:rsidRPr="003A0AC1">
        <w:rPr>
          <w:rFonts w:ascii="Lato" w:hAnsi="Lato"/>
          <w:b/>
        </w:rPr>
        <w:t>competing rights and responsibilities</w:t>
      </w:r>
      <w:r w:rsidRPr="003A0AC1">
        <w:rPr>
          <w:rFonts w:ascii="Lato" w:hAnsi="Lato"/>
        </w:rPr>
        <w:t xml:space="preserve"> as the competing tension, the following inquiry questions will help students gather the knowledge and understanding needed to think critically and analytically to answer the Big Question. </w:t>
      </w:r>
    </w:p>
    <w:p w14:paraId="1AA9929E" w14:textId="53F81200" w:rsidR="00E92D49" w:rsidRPr="003A0AC1" w:rsidRDefault="00E92D49">
      <w:pPr>
        <w:rPr>
          <w:rFonts w:ascii="Lato" w:hAnsi="Lato"/>
          <w:b/>
        </w:rPr>
      </w:pPr>
      <w:r w:rsidRPr="003A0AC1">
        <w:rPr>
          <w:rFonts w:ascii="Lato" w:hAnsi="Lato"/>
          <w:b/>
        </w:rPr>
        <w:t>Inquiry Questions</w:t>
      </w:r>
    </w:p>
    <w:p w14:paraId="6D62D1FD" w14:textId="70151259" w:rsidR="00EF14B7" w:rsidRPr="003A0AC1" w:rsidRDefault="00EF14B7" w:rsidP="00EF14B7">
      <w:pPr>
        <w:rPr>
          <w:rFonts w:ascii="Lato" w:hAnsi="Lato"/>
        </w:rPr>
      </w:pPr>
      <w:r w:rsidRPr="003A0AC1">
        <w:rPr>
          <w:rFonts w:ascii="Lato" w:hAnsi="Lato"/>
        </w:rPr>
        <w:t xml:space="preserve">What is the role of the following in the adversary system, and why are they important? </w:t>
      </w:r>
    </w:p>
    <w:p w14:paraId="36A7A2D9" w14:textId="77777777" w:rsidR="00EF14B7" w:rsidRPr="003A0AC1" w:rsidRDefault="00EF14B7" w:rsidP="00EF14B7">
      <w:pPr>
        <w:pStyle w:val="ListParagraph"/>
        <w:numPr>
          <w:ilvl w:val="0"/>
          <w:numId w:val="7"/>
        </w:numPr>
        <w:ind w:left="1418"/>
        <w:rPr>
          <w:rFonts w:ascii="Lato" w:hAnsi="Lato"/>
        </w:rPr>
      </w:pPr>
      <w:r w:rsidRPr="003A0AC1">
        <w:rPr>
          <w:rFonts w:ascii="Lato" w:hAnsi="Lato"/>
        </w:rPr>
        <w:t>Burden and standard of proof</w:t>
      </w:r>
    </w:p>
    <w:p w14:paraId="6C5A9E79" w14:textId="0D967A49" w:rsidR="00EF14B7" w:rsidRPr="003A0AC1" w:rsidRDefault="00EF14B7" w:rsidP="00EF14B7">
      <w:pPr>
        <w:pStyle w:val="ListParagraph"/>
        <w:numPr>
          <w:ilvl w:val="0"/>
          <w:numId w:val="7"/>
        </w:numPr>
        <w:ind w:left="1418"/>
        <w:rPr>
          <w:rFonts w:ascii="Lato" w:hAnsi="Lato"/>
        </w:rPr>
      </w:pPr>
      <w:r w:rsidRPr="003A0AC1">
        <w:rPr>
          <w:rFonts w:ascii="Lato" w:hAnsi="Lato"/>
        </w:rPr>
        <w:t>Rule of law</w:t>
      </w:r>
    </w:p>
    <w:p w14:paraId="60DDE92E" w14:textId="7C0B76E0" w:rsidR="00B10F60" w:rsidRPr="003A0AC1" w:rsidRDefault="00B10F60" w:rsidP="00EF14B7">
      <w:pPr>
        <w:pStyle w:val="ListParagraph"/>
        <w:numPr>
          <w:ilvl w:val="0"/>
          <w:numId w:val="7"/>
        </w:numPr>
        <w:ind w:left="1418"/>
        <w:rPr>
          <w:rFonts w:ascii="Lato" w:hAnsi="Lato"/>
        </w:rPr>
      </w:pPr>
      <w:r w:rsidRPr="003A0AC1">
        <w:rPr>
          <w:rFonts w:ascii="Lato" w:hAnsi="Lato"/>
        </w:rPr>
        <w:t>Role of the judge</w:t>
      </w:r>
    </w:p>
    <w:p w14:paraId="5EDC6D1A" w14:textId="056AD0D6" w:rsidR="00B10F60" w:rsidRPr="003A0AC1" w:rsidRDefault="00B10F60" w:rsidP="00EF14B7">
      <w:pPr>
        <w:pStyle w:val="ListParagraph"/>
        <w:numPr>
          <w:ilvl w:val="0"/>
          <w:numId w:val="7"/>
        </w:numPr>
        <w:ind w:left="1418"/>
        <w:rPr>
          <w:rFonts w:ascii="Lato" w:hAnsi="Lato"/>
        </w:rPr>
      </w:pPr>
      <w:r w:rsidRPr="003A0AC1">
        <w:rPr>
          <w:rFonts w:ascii="Lato" w:hAnsi="Lato"/>
        </w:rPr>
        <w:t>Role of the parties, witnesses and other participants, including juries</w:t>
      </w:r>
    </w:p>
    <w:p w14:paraId="6DDA4F12" w14:textId="6A5CE89B" w:rsidR="00B10F60" w:rsidRPr="003A0AC1" w:rsidRDefault="00B10F60" w:rsidP="00EF14B7">
      <w:pPr>
        <w:pStyle w:val="ListParagraph"/>
        <w:numPr>
          <w:ilvl w:val="0"/>
          <w:numId w:val="7"/>
        </w:numPr>
        <w:ind w:left="1418"/>
        <w:rPr>
          <w:rFonts w:ascii="Lato" w:hAnsi="Lato"/>
        </w:rPr>
      </w:pPr>
      <w:r w:rsidRPr="003A0AC1">
        <w:rPr>
          <w:rFonts w:ascii="Lato" w:hAnsi="Lato"/>
        </w:rPr>
        <w:t>Rules of evidence and procedure</w:t>
      </w:r>
    </w:p>
    <w:p w14:paraId="3E3E1A3F" w14:textId="3DB7808A" w:rsidR="00EF14B7" w:rsidRPr="003A0AC1" w:rsidRDefault="00B10F60" w:rsidP="00B10F60">
      <w:pPr>
        <w:rPr>
          <w:rFonts w:ascii="Lato" w:hAnsi="Lato"/>
        </w:rPr>
      </w:pPr>
      <w:r w:rsidRPr="003A0AC1">
        <w:rPr>
          <w:rFonts w:ascii="Lato" w:hAnsi="Lato"/>
        </w:rPr>
        <w:t xml:space="preserve">What are the key features and principles of criminal and civil law(s)? </w:t>
      </w:r>
    </w:p>
    <w:p w14:paraId="0A94F03A" w14:textId="17A4189D" w:rsidR="00E439CF" w:rsidRPr="003A0AC1" w:rsidRDefault="00B10F60" w:rsidP="00B10F60">
      <w:pPr>
        <w:rPr>
          <w:rFonts w:ascii="Lato" w:hAnsi="Lato"/>
        </w:rPr>
      </w:pPr>
      <w:r w:rsidRPr="003A0AC1">
        <w:rPr>
          <w:rFonts w:ascii="Lato" w:hAnsi="Lato"/>
        </w:rPr>
        <w:t xml:space="preserve">How does the justice system balance the rights of legal entities when they conflict with rights of the community? </w:t>
      </w:r>
    </w:p>
    <w:p w14:paraId="7923683E" w14:textId="4BB3BF25" w:rsidR="00B10F60" w:rsidRPr="003A0AC1" w:rsidRDefault="00EF14B7" w:rsidP="00B10F60">
      <w:pPr>
        <w:rPr>
          <w:rFonts w:ascii="Lato" w:hAnsi="Lato"/>
        </w:rPr>
      </w:pPr>
      <w:r w:rsidRPr="003A0AC1">
        <w:rPr>
          <w:rFonts w:ascii="Lato" w:hAnsi="Lato"/>
        </w:rPr>
        <w:t xml:space="preserve">How effective </w:t>
      </w:r>
      <w:r w:rsidR="00B10F60" w:rsidRPr="003A0AC1">
        <w:rPr>
          <w:rFonts w:ascii="Lato" w:hAnsi="Lato"/>
        </w:rPr>
        <w:t>is the adversary system of trial compared to the inquisitorial system?</w:t>
      </w:r>
    </w:p>
    <w:p w14:paraId="6F81A57F" w14:textId="6638D621" w:rsidR="00EF14B7" w:rsidRPr="003A0AC1" w:rsidRDefault="00B10F60" w:rsidP="00EF14B7">
      <w:pPr>
        <w:rPr>
          <w:rFonts w:ascii="Lato" w:hAnsi="Lato"/>
        </w:rPr>
      </w:pPr>
      <w:r w:rsidRPr="003A0AC1">
        <w:rPr>
          <w:rFonts w:ascii="Lato" w:hAnsi="Lato"/>
        </w:rPr>
        <w:t>How does the adversary system of trial protect the rights of groups and individuals in the community</w:t>
      </w:r>
      <w:r w:rsidR="00EF14B7" w:rsidRPr="003A0AC1">
        <w:rPr>
          <w:rFonts w:ascii="Lato" w:hAnsi="Lato"/>
        </w:rPr>
        <w:t xml:space="preserve">, including Aboriginal and Torres Strait Islanders? </w:t>
      </w:r>
    </w:p>
    <w:p w14:paraId="17220D5F" w14:textId="55B48773" w:rsidR="00E92D49" w:rsidRPr="003A0AC1" w:rsidRDefault="002D7FAF">
      <w:pPr>
        <w:rPr>
          <w:rFonts w:ascii="Lato" w:hAnsi="Lato"/>
        </w:rPr>
      </w:pPr>
      <w:r w:rsidRPr="003A0AC1">
        <w:rPr>
          <w:rFonts w:ascii="Lato" w:hAnsi="Lato"/>
        </w:rPr>
        <w:t>OR</w:t>
      </w:r>
    </w:p>
    <w:p w14:paraId="2F1D8A47" w14:textId="24B928EC" w:rsidR="001A40B0" w:rsidRPr="003A0AC1" w:rsidRDefault="00A84D47">
      <w:pPr>
        <w:rPr>
          <w:rFonts w:ascii="Lato" w:hAnsi="Lato"/>
        </w:rPr>
      </w:pPr>
      <w:r w:rsidRPr="003A0AC1">
        <w:rPr>
          <w:rFonts w:ascii="Lato" w:hAnsi="Lato"/>
        </w:rPr>
        <w:t>Big Question</w:t>
      </w:r>
      <w:r w:rsidR="001D12B8" w:rsidRPr="003A0AC1">
        <w:rPr>
          <w:rFonts w:ascii="Lato" w:hAnsi="Lato"/>
        </w:rPr>
        <w:t xml:space="preserve"> 2</w:t>
      </w:r>
      <w:r w:rsidRPr="003A0AC1">
        <w:rPr>
          <w:rFonts w:ascii="Lato" w:hAnsi="Lato"/>
        </w:rPr>
        <w:t xml:space="preserve">: </w:t>
      </w:r>
      <w:r w:rsidR="00993D09" w:rsidRPr="003A0AC1">
        <w:rPr>
          <w:rFonts w:ascii="Lato" w:hAnsi="Lato"/>
          <w:b/>
        </w:rPr>
        <w:t>Should rights and obligations vary in different contexts</w:t>
      </w:r>
      <w:r w:rsidR="004220E2" w:rsidRPr="003A0AC1">
        <w:rPr>
          <w:rFonts w:ascii="Lato" w:hAnsi="Lato"/>
          <w:b/>
        </w:rPr>
        <w:t>?</w:t>
      </w:r>
      <w:r w:rsidR="004220E2" w:rsidRPr="003A0AC1">
        <w:rPr>
          <w:rFonts w:ascii="Lato" w:hAnsi="Lato"/>
        </w:rPr>
        <w:t xml:space="preserve">  </w:t>
      </w:r>
    </w:p>
    <w:p w14:paraId="1B4E8D94" w14:textId="4824A0F3" w:rsidR="001A40B0" w:rsidRPr="003A0AC1" w:rsidRDefault="0014123D" w:rsidP="0014123D">
      <w:pPr>
        <w:rPr>
          <w:rFonts w:ascii="Lato" w:hAnsi="Lato"/>
        </w:rPr>
      </w:pPr>
      <w:r w:rsidRPr="003A0AC1">
        <w:rPr>
          <w:rFonts w:ascii="Lato" w:hAnsi="Lato"/>
        </w:rPr>
        <w:t>When we investigate</w:t>
      </w:r>
      <w:r w:rsidR="0063461D" w:rsidRPr="003A0AC1">
        <w:rPr>
          <w:rFonts w:ascii="Lato" w:hAnsi="Lato"/>
        </w:rPr>
        <w:t xml:space="preserve"> opposing rights and responsibilities afforded by our adversarial system</w:t>
      </w:r>
      <w:r w:rsidRPr="003A0AC1">
        <w:rPr>
          <w:rFonts w:ascii="Lato" w:hAnsi="Lato"/>
        </w:rPr>
        <w:t xml:space="preserve">, competing tensions arise between </w:t>
      </w:r>
      <w:r w:rsidR="00187762" w:rsidRPr="003A0AC1">
        <w:rPr>
          <w:rFonts w:ascii="Lato" w:hAnsi="Lato"/>
        </w:rPr>
        <w:t xml:space="preserve">individuals, groups and the government. </w:t>
      </w:r>
      <w:r w:rsidR="00993D09" w:rsidRPr="003A0AC1">
        <w:rPr>
          <w:rFonts w:ascii="Lato" w:hAnsi="Lato"/>
        </w:rPr>
        <w:t xml:space="preserve"> Students consider diverse geopolitical spaces that may be disempowered by our current dispute resolution systems</w:t>
      </w:r>
      <w:r w:rsidR="0063461D" w:rsidRPr="003A0AC1">
        <w:rPr>
          <w:rFonts w:ascii="Lato" w:hAnsi="Lato"/>
        </w:rPr>
        <w:t xml:space="preserve"> and explore conflicting rights of an individual with the rights of the community</w:t>
      </w:r>
      <w:r w:rsidR="00993D09" w:rsidRPr="003A0AC1">
        <w:rPr>
          <w:rFonts w:ascii="Lato" w:hAnsi="Lato"/>
        </w:rPr>
        <w:t xml:space="preserve">.  </w:t>
      </w:r>
      <w:r w:rsidR="00FC2517" w:rsidRPr="003A0AC1">
        <w:rPr>
          <w:rFonts w:ascii="Lato" w:hAnsi="Lato"/>
        </w:rPr>
        <w:t xml:space="preserve">When we investigate </w:t>
      </w:r>
      <w:r w:rsidR="00993D09" w:rsidRPr="003A0AC1">
        <w:rPr>
          <w:rFonts w:ascii="Lato" w:hAnsi="Lato"/>
        </w:rPr>
        <w:t xml:space="preserve">features of the adversarial system compared to other systems around the world, </w:t>
      </w:r>
      <w:r w:rsidR="00FC2517" w:rsidRPr="003A0AC1">
        <w:rPr>
          <w:rFonts w:ascii="Lato" w:hAnsi="Lato"/>
        </w:rPr>
        <w:t xml:space="preserve">we </w:t>
      </w:r>
      <w:proofErr w:type="gramStart"/>
      <w:r w:rsidR="00FC2517" w:rsidRPr="003A0AC1">
        <w:rPr>
          <w:rFonts w:ascii="Lato" w:hAnsi="Lato"/>
        </w:rPr>
        <w:t>are able to</w:t>
      </w:r>
      <w:proofErr w:type="gramEnd"/>
      <w:r w:rsidR="00FC2517" w:rsidRPr="003A0AC1">
        <w:rPr>
          <w:rFonts w:ascii="Lato" w:hAnsi="Lato"/>
        </w:rPr>
        <w:t xml:space="preserve"> make informed evaluations of how the ALS has evolved – or </w:t>
      </w:r>
      <w:r w:rsidR="0063461D" w:rsidRPr="003A0AC1">
        <w:rPr>
          <w:rFonts w:ascii="Lato" w:hAnsi="Lato"/>
        </w:rPr>
        <w:t>could evolve</w:t>
      </w:r>
      <w:r w:rsidR="00FC2517" w:rsidRPr="003A0AC1">
        <w:rPr>
          <w:rFonts w:ascii="Lato" w:hAnsi="Lato"/>
        </w:rPr>
        <w:t xml:space="preserve"> – to </w:t>
      </w:r>
      <w:r w:rsidR="0063461D" w:rsidRPr="003A0AC1">
        <w:rPr>
          <w:rFonts w:ascii="Lato" w:hAnsi="Lato"/>
        </w:rPr>
        <w:t>balance rights and responsibilities afforded by our justice system.  By</w:t>
      </w:r>
      <w:r w:rsidR="00993D09" w:rsidRPr="003A0AC1">
        <w:rPr>
          <w:rFonts w:ascii="Lato" w:hAnsi="Lato"/>
        </w:rPr>
        <w:t xml:space="preserve"> thorough</w:t>
      </w:r>
      <w:r w:rsidR="0063461D" w:rsidRPr="003A0AC1">
        <w:rPr>
          <w:rFonts w:ascii="Lato" w:hAnsi="Lato"/>
        </w:rPr>
        <w:t>ly</w:t>
      </w:r>
      <w:r w:rsidR="00993D09" w:rsidRPr="003A0AC1">
        <w:rPr>
          <w:rFonts w:ascii="Lato" w:hAnsi="Lato"/>
        </w:rPr>
        <w:t xml:space="preserve"> </w:t>
      </w:r>
      <w:r w:rsidR="0063461D" w:rsidRPr="003A0AC1">
        <w:rPr>
          <w:rFonts w:ascii="Lato" w:hAnsi="Lato"/>
        </w:rPr>
        <w:t xml:space="preserve">investigating dispute resolution mechanisms, </w:t>
      </w:r>
      <w:r w:rsidR="00200F92" w:rsidRPr="003A0AC1">
        <w:rPr>
          <w:rFonts w:ascii="Lato" w:hAnsi="Lato"/>
        </w:rPr>
        <w:t>we can suggest</w:t>
      </w:r>
      <w:r w:rsidR="00FC2517" w:rsidRPr="003A0AC1">
        <w:rPr>
          <w:rFonts w:ascii="Lato" w:hAnsi="Lato"/>
        </w:rPr>
        <w:t xml:space="preserve"> </w:t>
      </w:r>
      <w:r w:rsidR="0063461D" w:rsidRPr="003A0AC1">
        <w:rPr>
          <w:rFonts w:ascii="Lato" w:hAnsi="Lato"/>
        </w:rPr>
        <w:t xml:space="preserve">possible </w:t>
      </w:r>
      <w:r w:rsidR="00200F92" w:rsidRPr="003A0AC1">
        <w:rPr>
          <w:rFonts w:ascii="Lato" w:hAnsi="Lato"/>
        </w:rPr>
        <w:t xml:space="preserve">reforms </w:t>
      </w:r>
      <w:r w:rsidR="00187762" w:rsidRPr="003A0AC1">
        <w:rPr>
          <w:rFonts w:ascii="Lato" w:hAnsi="Lato"/>
        </w:rPr>
        <w:t xml:space="preserve">that could better equalise any imbalance of power.  </w:t>
      </w:r>
    </w:p>
    <w:p w14:paraId="2F9A1AB1" w14:textId="77777777" w:rsidR="001A40B0" w:rsidRPr="003A0AC1" w:rsidRDefault="001A40B0">
      <w:pPr>
        <w:rPr>
          <w:rFonts w:ascii="Lato" w:hAnsi="Lato"/>
        </w:rPr>
      </w:pPr>
      <w:r w:rsidRPr="003A0AC1">
        <w:rPr>
          <w:rFonts w:ascii="Lato" w:hAnsi="Lato"/>
        </w:rPr>
        <w:lastRenderedPageBreak/>
        <w:t xml:space="preserve">In focusing on </w:t>
      </w:r>
      <w:r w:rsidRPr="003A0AC1">
        <w:rPr>
          <w:rFonts w:ascii="Lato" w:hAnsi="Lato"/>
          <w:b/>
        </w:rPr>
        <w:t>the empowered and the disempowered</w:t>
      </w:r>
      <w:r w:rsidRPr="003A0AC1">
        <w:rPr>
          <w:rFonts w:ascii="Lato" w:hAnsi="Lato"/>
        </w:rPr>
        <w:t xml:space="preserve"> as the competing tension, the following inquiry questions will help students gather the knowledge and understanding needed to think critically and analytically to answer the Big Question. </w:t>
      </w:r>
    </w:p>
    <w:p w14:paraId="45FECD6B" w14:textId="77777777" w:rsidR="008C1DBA" w:rsidRPr="003A0AC1" w:rsidRDefault="008C1DBA">
      <w:pPr>
        <w:rPr>
          <w:rFonts w:ascii="Lato" w:hAnsi="Lato"/>
          <w:b/>
        </w:rPr>
      </w:pPr>
      <w:r w:rsidRPr="003A0AC1">
        <w:rPr>
          <w:rFonts w:ascii="Lato" w:hAnsi="Lato"/>
          <w:b/>
        </w:rPr>
        <w:t>Inquiry Questions</w:t>
      </w:r>
    </w:p>
    <w:p w14:paraId="5B1B68E5" w14:textId="49A3C192" w:rsidR="00FD484B" w:rsidRPr="003A0AC1" w:rsidRDefault="00FD484B">
      <w:pPr>
        <w:rPr>
          <w:rFonts w:ascii="Lato" w:hAnsi="Lato"/>
        </w:rPr>
      </w:pPr>
      <w:r w:rsidRPr="003A0AC1">
        <w:rPr>
          <w:rFonts w:ascii="Lato" w:hAnsi="Lato"/>
        </w:rPr>
        <w:t xml:space="preserve">How and where are </w:t>
      </w:r>
      <w:r w:rsidR="008524C6" w:rsidRPr="003A0AC1">
        <w:rPr>
          <w:rFonts w:ascii="Lato" w:hAnsi="Lato"/>
        </w:rPr>
        <w:t>crime victim</w:t>
      </w:r>
      <w:r w:rsidRPr="003A0AC1">
        <w:rPr>
          <w:rFonts w:ascii="Lato" w:hAnsi="Lato"/>
        </w:rPr>
        <w:t xml:space="preserve"> rights reflected in our laws? </w:t>
      </w:r>
    </w:p>
    <w:p w14:paraId="487AA317" w14:textId="2B8260C9" w:rsidR="009B4BE2" w:rsidRPr="003A0AC1" w:rsidRDefault="009B4BE2" w:rsidP="009B4BE2">
      <w:pPr>
        <w:pStyle w:val="ListParagraph"/>
        <w:numPr>
          <w:ilvl w:val="0"/>
          <w:numId w:val="7"/>
        </w:numPr>
        <w:ind w:left="1418"/>
        <w:rPr>
          <w:rFonts w:ascii="Lato" w:hAnsi="Lato"/>
        </w:rPr>
      </w:pPr>
      <w:r w:rsidRPr="003A0AC1">
        <w:rPr>
          <w:rFonts w:ascii="Lato" w:hAnsi="Lato"/>
        </w:rPr>
        <w:t>Explicit rights</w:t>
      </w:r>
    </w:p>
    <w:p w14:paraId="43C7BE1C" w14:textId="23241233" w:rsidR="009B4BE2" w:rsidRPr="003A0AC1" w:rsidRDefault="009B4BE2" w:rsidP="009B4BE2">
      <w:pPr>
        <w:pStyle w:val="ListParagraph"/>
        <w:numPr>
          <w:ilvl w:val="0"/>
          <w:numId w:val="7"/>
        </w:numPr>
        <w:ind w:left="1418"/>
        <w:rPr>
          <w:rFonts w:ascii="Lato" w:hAnsi="Lato"/>
        </w:rPr>
      </w:pPr>
      <w:r w:rsidRPr="003A0AC1">
        <w:rPr>
          <w:rFonts w:ascii="Lato" w:hAnsi="Lato"/>
        </w:rPr>
        <w:t>Constitution interpretation</w:t>
      </w:r>
    </w:p>
    <w:p w14:paraId="39DAF975" w14:textId="3935E86D" w:rsidR="009B4BE2" w:rsidRPr="003A0AC1" w:rsidRDefault="009B4BE2" w:rsidP="009B4BE2">
      <w:pPr>
        <w:pStyle w:val="ListParagraph"/>
        <w:numPr>
          <w:ilvl w:val="0"/>
          <w:numId w:val="7"/>
        </w:numPr>
        <w:ind w:left="1418"/>
        <w:rPr>
          <w:rFonts w:ascii="Lato" w:hAnsi="Lato"/>
        </w:rPr>
      </w:pPr>
      <w:r w:rsidRPr="003A0AC1">
        <w:rPr>
          <w:rFonts w:ascii="Lato" w:hAnsi="Lato"/>
        </w:rPr>
        <w:t>Customary international law</w:t>
      </w:r>
    </w:p>
    <w:p w14:paraId="64226BF9" w14:textId="379F541B" w:rsidR="009B4BE2" w:rsidRPr="003A0AC1" w:rsidRDefault="009B4BE2" w:rsidP="009B4BE2">
      <w:pPr>
        <w:pStyle w:val="ListParagraph"/>
        <w:numPr>
          <w:ilvl w:val="0"/>
          <w:numId w:val="7"/>
        </w:numPr>
        <w:ind w:left="1418"/>
        <w:rPr>
          <w:rFonts w:ascii="Lato" w:hAnsi="Lato"/>
        </w:rPr>
      </w:pPr>
      <w:r w:rsidRPr="003A0AC1">
        <w:rPr>
          <w:rFonts w:ascii="Lato" w:hAnsi="Lato"/>
        </w:rPr>
        <w:t>International agreements (treaties)</w:t>
      </w:r>
    </w:p>
    <w:p w14:paraId="2C1C65F3" w14:textId="77777777" w:rsidR="00B71E2F" w:rsidRPr="003A0AC1" w:rsidRDefault="00B71E2F" w:rsidP="00B71E2F">
      <w:pPr>
        <w:rPr>
          <w:rFonts w:ascii="Lato" w:hAnsi="Lato"/>
        </w:rPr>
      </w:pPr>
      <w:r w:rsidRPr="003A0AC1">
        <w:rPr>
          <w:rFonts w:ascii="Lato" w:hAnsi="Lato"/>
        </w:rPr>
        <w:t xml:space="preserve">What is the role of the following in the adversary system, and why are they important? </w:t>
      </w:r>
    </w:p>
    <w:p w14:paraId="587FF869" w14:textId="77777777" w:rsidR="00B71E2F" w:rsidRPr="003A0AC1" w:rsidRDefault="00B71E2F" w:rsidP="00B71E2F">
      <w:pPr>
        <w:pStyle w:val="ListParagraph"/>
        <w:numPr>
          <w:ilvl w:val="0"/>
          <w:numId w:val="7"/>
        </w:numPr>
        <w:ind w:left="1418"/>
        <w:rPr>
          <w:rFonts w:ascii="Lato" w:hAnsi="Lato"/>
        </w:rPr>
      </w:pPr>
      <w:r w:rsidRPr="003A0AC1">
        <w:rPr>
          <w:rFonts w:ascii="Lato" w:hAnsi="Lato"/>
        </w:rPr>
        <w:t>Burden and standard of proof</w:t>
      </w:r>
    </w:p>
    <w:p w14:paraId="4069CBE1" w14:textId="77777777" w:rsidR="00B71E2F" w:rsidRPr="003A0AC1" w:rsidRDefault="00B71E2F" w:rsidP="00B71E2F">
      <w:pPr>
        <w:pStyle w:val="ListParagraph"/>
        <w:numPr>
          <w:ilvl w:val="0"/>
          <w:numId w:val="7"/>
        </w:numPr>
        <w:ind w:left="1418"/>
        <w:rPr>
          <w:rFonts w:ascii="Lato" w:hAnsi="Lato"/>
        </w:rPr>
      </w:pPr>
      <w:r w:rsidRPr="003A0AC1">
        <w:rPr>
          <w:rFonts w:ascii="Lato" w:hAnsi="Lato"/>
        </w:rPr>
        <w:t>Rule of law</w:t>
      </w:r>
    </w:p>
    <w:p w14:paraId="35BF5A9E" w14:textId="77777777" w:rsidR="00B71E2F" w:rsidRPr="003A0AC1" w:rsidRDefault="00B71E2F" w:rsidP="00B71E2F">
      <w:pPr>
        <w:pStyle w:val="ListParagraph"/>
        <w:numPr>
          <w:ilvl w:val="0"/>
          <w:numId w:val="7"/>
        </w:numPr>
        <w:ind w:left="1418"/>
        <w:rPr>
          <w:rFonts w:ascii="Lato" w:hAnsi="Lato"/>
        </w:rPr>
      </w:pPr>
      <w:r w:rsidRPr="003A0AC1">
        <w:rPr>
          <w:rFonts w:ascii="Lato" w:hAnsi="Lato"/>
        </w:rPr>
        <w:t>Role of the judge</w:t>
      </w:r>
    </w:p>
    <w:p w14:paraId="09043E1D" w14:textId="77777777" w:rsidR="00B71E2F" w:rsidRPr="003A0AC1" w:rsidRDefault="00B71E2F" w:rsidP="00B71E2F">
      <w:pPr>
        <w:pStyle w:val="ListParagraph"/>
        <w:numPr>
          <w:ilvl w:val="0"/>
          <w:numId w:val="7"/>
        </w:numPr>
        <w:ind w:left="1418"/>
        <w:rPr>
          <w:rFonts w:ascii="Lato" w:hAnsi="Lato"/>
        </w:rPr>
      </w:pPr>
      <w:r w:rsidRPr="003A0AC1">
        <w:rPr>
          <w:rFonts w:ascii="Lato" w:hAnsi="Lato"/>
        </w:rPr>
        <w:t>Role of the parties, witnesses and other participants, including juries</w:t>
      </w:r>
    </w:p>
    <w:p w14:paraId="02CF826E" w14:textId="77777777" w:rsidR="00B71E2F" w:rsidRPr="003A0AC1" w:rsidRDefault="00B71E2F" w:rsidP="00B71E2F">
      <w:pPr>
        <w:pStyle w:val="ListParagraph"/>
        <w:numPr>
          <w:ilvl w:val="0"/>
          <w:numId w:val="7"/>
        </w:numPr>
        <w:ind w:left="1418"/>
        <w:rPr>
          <w:rFonts w:ascii="Lato" w:hAnsi="Lato"/>
        </w:rPr>
      </w:pPr>
      <w:r w:rsidRPr="003A0AC1">
        <w:rPr>
          <w:rFonts w:ascii="Lato" w:hAnsi="Lato"/>
        </w:rPr>
        <w:t>Rules of evidence and procedure</w:t>
      </w:r>
    </w:p>
    <w:p w14:paraId="60487F8B" w14:textId="6D434441" w:rsidR="00813247" w:rsidRPr="003A0AC1" w:rsidRDefault="00B71E2F" w:rsidP="00813247">
      <w:pPr>
        <w:rPr>
          <w:rFonts w:ascii="Lato" w:hAnsi="Lato"/>
        </w:rPr>
      </w:pPr>
      <w:r w:rsidRPr="003A0AC1">
        <w:rPr>
          <w:rFonts w:ascii="Lato" w:hAnsi="Lato"/>
        </w:rPr>
        <w:t xml:space="preserve">What rights do international justice systems, including community </w:t>
      </w:r>
      <w:r w:rsidR="002D7FAF" w:rsidRPr="003A0AC1">
        <w:rPr>
          <w:rFonts w:ascii="Lato" w:hAnsi="Lato"/>
        </w:rPr>
        <w:t>or customary justice practices,</w:t>
      </w:r>
      <w:r w:rsidRPr="003A0AC1">
        <w:rPr>
          <w:rFonts w:ascii="Lato" w:hAnsi="Lato"/>
        </w:rPr>
        <w:t xml:space="preserve"> </w:t>
      </w:r>
      <w:r w:rsidR="002D7FAF" w:rsidRPr="003A0AC1">
        <w:rPr>
          <w:rFonts w:ascii="Lato" w:hAnsi="Lato"/>
        </w:rPr>
        <w:t>afford crime</w:t>
      </w:r>
      <w:r w:rsidRPr="003A0AC1">
        <w:rPr>
          <w:rFonts w:ascii="Lato" w:hAnsi="Lato"/>
        </w:rPr>
        <w:t xml:space="preserve"> victims</w:t>
      </w:r>
      <w:r w:rsidR="002D7FAF" w:rsidRPr="003A0AC1">
        <w:rPr>
          <w:rFonts w:ascii="Lato" w:hAnsi="Lato"/>
        </w:rPr>
        <w:t xml:space="preserve"> and an accused</w:t>
      </w:r>
      <w:r w:rsidR="00813247" w:rsidRPr="003A0AC1">
        <w:rPr>
          <w:rFonts w:ascii="Lato" w:hAnsi="Lato"/>
        </w:rPr>
        <w:t xml:space="preserve">? </w:t>
      </w:r>
    </w:p>
    <w:p w14:paraId="7BE70DC2" w14:textId="0E4EF8F1" w:rsidR="0037698B" w:rsidRPr="003A0AC1" w:rsidRDefault="0037698B" w:rsidP="0037698B">
      <w:pPr>
        <w:rPr>
          <w:rFonts w:ascii="Lato" w:hAnsi="Lato"/>
        </w:rPr>
      </w:pPr>
      <w:r w:rsidRPr="003A0AC1">
        <w:rPr>
          <w:rFonts w:ascii="Lato" w:hAnsi="Lato"/>
        </w:rPr>
        <w:t xml:space="preserve">What are the strengths and weaknesses of different types of </w:t>
      </w:r>
      <w:r w:rsidR="002D7FAF" w:rsidRPr="003A0AC1">
        <w:rPr>
          <w:rFonts w:ascii="Lato" w:hAnsi="Lato"/>
        </w:rPr>
        <w:t>dispute resolution to protect the</w:t>
      </w:r>
      <w:r w:rsidRPr="003A0AC1">
        <w:rPr>
          <w:rFonts w:ascii="Lato" w:hAnsi="Lato"/>
        </w:rPr>
        <w:t xml:space="preserve"> rights</w:t>
      </w:r>
      <w:r w:rsidR="002D7FAF" w:rsidRPr="003A0AC1">
        <w:rPr>
          <w:rFonts w:ascii="Lato" w:hAnsi="Lato"/>
        </w:rPr>
        <w:t xml:space="preserve"> of opposing legal parties</w:t>
      </w:r>
      <w:r w:rsidRPr="003A0AC1">
        <w:rPr>
          <w:rFonts w:ascii="Lato" w:hAnsi="Lato"/>
        </w:rPr>
        <w:t xml:space="preserve">? </w:t>
      </w:r>
      <w:bookmarkStart w:id="0" w:name="_GoBack"/>
      <w:bookmarkEnd w:id="0"/>
    </w:p>
    <w:p w14:paraId="60FC74CC" w14:textId="229258AF" w:rsidR="002D7FAF" w:rsidRPr="003A0AC1" w:rsidRDefault="002D7FAF" w:rsidP="0037698B">
      <w:pPr>
        <w:rPr>
          <w:rFonts w:ascii="Lato" w:hAnsi="Lato"/>
        </w:rPr>
      </w:pPr>
      <w:r w:rsidRPr="003A0AC1">
        <w:rPr>
          <w:rFonts w:ascii="Lato" w:hAnsi="Lato"/>
        </w:rPr>
        <w:t xml:space="preserve">How could the ALS adapt to better uphold the rights of victims of crime? </w:t>
      </w:r>
    </w:p>
    <w:p w14:paraId="09BD281D" w14:textId="77777777" w:rsidR="002D7FAF" w:rsidRPr="003A0AC1" w:rsidRDefault="002D7FAF" w:rsidP="002D7FAF">
      <w:pPr>
        <w:rPr>
          <w:rFonts w:ascii="Lato" w:hAnsi="Lato"/>
        </w:rPr>
      </w:pPr>
      <w:r w:rsidRPr="003A0AC1">
        <w:rPr>
          <w:rFonts w:ascii="Lato" w:hAnsi="Lato"/>
        </w:rPr>
        <w:t xml:space="preserve">Students will need to explore and evaluate the underpinning principles and processes of the adversarial system compared to other forms of dispute resolution.   Some additional considerations to explore can include but is not limited to: </w:t>
      </w:r>
    </w:p>
    <w:p w14:paraId="38B89223" w14:textId="77777777" w:rsidR="002D7FAF" w:rsidRPr="003A0AC1" w:rsidRDefault="002D7FAF" w:rsidP="002D7FAF">
      <w:pPr>
        <w:rPr>
          <w:rFonts w:ascii="Lato" w:hAnsi="Lato"/>
        </w:rPr>
      </w:pPr>
      <w:r w:rsidRPr="003A0AC1">
        <w:rPr>
          <w:rFonts w:ascii="Lato" w:hAnsi="Lato"/>
        </w:rPr>
        <w:t>Legislation:</w:t>
      </w:r>
    </w:p>
    <w:p w14:paraId="1BCB2BFF" w14:textId="77777777" w:rsidR="002D7FAF" w:rsidRPr="003A0AC1" w:rsidRDefault="002D7FAF" w:rsidP="002D7FAF">
      <w:pPr>
        <w:pStyle w:val="ListParagraph"/>
        <w:numPr>
          <w:ilvl w:val="0"/>
          <w:numId w:val="9"/>
        </w:numPr>
        <w:rPr>
          <w:rFonts w:ascii="Lato" w:hAnsi="Lato"/>
        </w:rPr>
      </w:pPr>
      <w:r w:rsidRPr="003A0AC1">
        <w:rPr>
          <w:rFonts w:ascii="Lato" w:hAnsi="Lato"/>
        </w:rPr>
        <w:t>Sentencing Act 1995 (NT)</w:t>
      </w:r>
    </w:p>
    <w:p w14:paraId="5C63A2F6" w14:textId="77777777" w:rsidR="002D7FAF" w:rsidRPr="003A0AC1" w:rsidRDefault="002D7FAF" w:rsidP="002D7FAF">
      <w:pPr>
        <w:pStyle w:val="ListParagraph"/>
        <w:numPr>
          <w:ilvl w:val="0"/>
          <w:numId w:val="9"/>
        </w:numPr>
        <w:rPr>
          <w:rFonts w:ascii="Lato" w:hAnsi="Lato"/>
        </w:rPr>
      </w:pPr>
      <w:r w:rsidRPr="003A0AC1">
        <w:rPr>
          <w:rFonts w:ascii="Lato" w:hAnsi="Lato"/>
        </w:rPr>
        <w:t>Victims of Crime Rights and Services Act 2006 (NT)</w:t>
      </w:r>
    </w:p>
    <w:p w14:paraId="756FA296" w14:textId="77777777" w:rsidR="002D7FAF" w:rsidRPr="003A0AC1" w:rsidRDefault="002D7FAF" w:rsidP="002D7FAF">
      <w:pPr>
        <w:pStyle w:val="ListParagraph"/>
        <w:numPr>
          <w:ilvl w:val="0"/>
          <w:numId w:val="9"/>
        </w:numPr>
        <w:rPr>
          <w:rFonts w:ascii="Lato" w:hAnsi="Lato"/>
        </w:rPr>
      </w:pPr>
      <w:r w:rsidRPr="003A0AC1">
        <w:rPr>
          <w:rFonts w:ascii="Lato" w:hAnsi="Lato"/>
        </w:rPr>
        <w:t>Victims of Crime Assistance Act 2006 (NT)</w:t>
      </w:r>
    </w:p>
    <w:p w14:paraId="56BD51EC" w14:textId="77777777" w:rsidR="002D7FAF" w:rsidRPr="003A0AC1" w:rsidRDefault="002D7FAF" w:rsidP="002D7FAF">
      <w:pPr>
        <w:pStyle w:val="ListParagraph"/>
        <w:numPr>
          <w:ilvl w:val="0"/>
          <w:numId w:val="9"/>
        </w:numPr>
        <w:rPr>
          <w:rFonts w:ascii="Lato" w:hAnsi="Lato"/>
        </w:rPr>
      </w:pPr>
      <w:r w:rsidRPr="003A0AC1">
        <w:rPr>
          <w:rFonts w:ascii="Lato" w:hAnsi="Lato"/>
        </w:rPr>
        <w:t>Criminal Code Act 1983 (NT)</w:t>
      </w:r>
    </w:p>
    <w:p w14:paraId="37FCA746" w14:textId="77777777" w:rsidR="002D7FAF" w:rsidRPr="003A0AC1" w:rsidRDefault="002D7FAF" w:rsidP="002D7FAF">
      <w:pPr>
        <w:rPr>
          <w:rFonts w:ascii="Lato" w:hAnsi="Lato"/>
        </w:rPr>
      </w:pPr>
      <w:r w:rsidRPr="003A0AC1">
        <w:rPr>
          <w:rFonts w:ascii="Lato" w:hAnsi="Lato"/>
        </w:rPr>
        <w:t>Treaties</w:t>
      </w:r>
    </w:p>
    <w:p w14:paraId="72A9E86A" w14:textId="77777777" w:rsidR="002D7FAF" w:rsidRPr="003A0AC1" w:rsidRDefault="002D7FAF" w:rsidP="002D7FAF">
      <w:pPr>
        <w:pStyle w:val="ListParagraph"/>
        <w:numPr>
          <w:ilvl w:val="0"/>
          <w:numId w:val="10"/>
        </w:numPr>
        <w:rPr>
          <w:rFonts w:ascii="Lato" w:hAnsi="Lato"/>
        </w:rPr>
      </w:pPr>
      <w:r w:rsidRPr="003A0AC1">
        <w:rPr>
          <w:rFonts w:ascii="Lato" w:hAnsi="Lato"/>
        </w:rPr>
        <w:t>Basic Principles of Justice for Victims of Crime and Abuse of Power</w:t>
      </w:r>
    </w:p>
    <w:p w14:paraId="3C050855" w14:textId="77777777" w:rsidR="0037698B" w:rsidRPr="0037698B" w:rsidRDefault="0037698B" w:rsidP="0037698B">
      <w:pPr>
        <w:rPr>
          <w:rFonts w:ascii="Lato" w:hAnsi="Lato"/>
          <w:sz w:val="24"/>
        </w:rPr>
      </w:pPr>
    </w:p>
    <w:sectPr w:rsidR="0037698B" w:rsidRPr="0037698B" w:rsidSect="00633966">
      <w:footerReference w:type="default" r:id="rId11"/>
      <w:pgSz w:w="11906" w:h="16838"/>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E99AD" w14:textId="77777777" w:rsidR="00C00517" w:rsidRDefault="00C00517" w:rsidP="00ED725B">
      <w:pPr>
        <w:spacing w:after="0" w:line="240" w:lineRule="auto"/>
      </w:pPr>
      <w:r>
        <w:separator/>
      </w:r>
    </w:p>
  </w:endnote>
  <w:endnote w:type="continuationSeparator" w:id="0">
    <w:p w14:paraId="4E08FF51" w14:textId="77777777" w:rsidR="00C00517" w:rsidRDefault="00C00517" w:rsidP="00ED7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070DC" w14:textId="77777777" w:rsidR="00C53F4D" w:rsidRPr="00C53F4D" w:rsidRDefault="00C53F4D" w:rsidP="00C53F4D">
    <w:pPr>
      <w:pStyle w:val="Footer"/>
      <w:rPr>
        <w:rFonts w:ascii="Arial" w:hAnsi="Arial" w:cs="Arial"/>
        <w:sz w:val="16"/>
        <w:szCs w:val="16"/>
      </w:rPr>
    </w:pPr>
    <w:r w:rsidRPr="00C53F4D">
      <w:rPr>
        <w:rFonts w:ascii="Arial" w:hAnsi="Arial" w:cs="Arial"/>
        <w:sz w:val="16"/>
        <w:szCs w:val="16"/>
      </w:rPr>
      <w:t>Focus Area 2: Dispute Resolution</w:t>
    </w:r>
    <w:r w:rsidRPr="00C53F4D">
      <w:rPr>
        <w:rFonts w:ascii="Arial" w:hAnsi="Arial" w:cs="Arial"/>
        <w:sz w:val="16"/>
        <w:szCs w:val="16"/>
      </w:rPr>
      <w:tab/>
    </w:r>
    <w:r w:rsidRPr="00C53F4D">
      <w:rPr>
        <w:rFonts w:ascii="Arial" w:hAnsi="Arial" w:cs="Arial"/>
        <w:sz w:val="16"/>
        <w:szCs w:val="16"/>
      </w:rPr>
      <w:tab/>
    </w:r>
  </w:p>
  <w:p w14:paraId="0E3380FE" w14:textId="5092E5BC" w:rsidR="00C53F4D" w:rsidRPr="00C53F4D" w:rsidRDefault="00C53F4D" w:rsidP="00C53F4D">
    <w:pPr>
      <w:pStyle w:val="Footer"/>
      <w:rPr>
        <w:rFonts w:ascii="Arial" w:hAnsi="Arial" w:cs="Arial"/>
        <w:sz w:val="16"/>
        <w:szCs w:val="16"/>
      </w:rPr>
    </w:pPr>
    <w:r w:rsidRPr="00C53F4D">
      <w:rPr>
        <w:rFonts w:ascii="Arial" w:hAnsi="Arial" w:cs="Arial"/>
        <w:sz w:val="16"/>
        <w:szCs w:val="16"/>
      </w:rPr>
      <w:t xml:space="preserve">When rights collide – Two options </w:t>
    </w:r>
    <w:r w:rsidRPr="00C53F4D">
      <w:rPr>
        <w:rFonts w:ascii="Arial" w:hAnsi="Arial" w:cs="Arial"/>
        <w:sz w:val="16"/>
        <w:szCs w:val="16"/>
      </w:rPr>
      <w:tab/>
    </w:r>
    <w:r w:rsidRPr="00C53F4D">
      <w:rPr>
        <w:rFonts w:ascii="Arial" w:hAnsi="Arial" w:cs="Arial"/>
        <w:sz w:val="16"/>
        <w:szCs w:val="16"/>
      </w:rPr>
      <w:tab/>
    </w:r>
    <w:sdt>
      <w:sdtPr>
        <w:rPr>
          <w:rFonts w:ascii="Arial" w:hAnsi="Arial" w:cs="Arial"/>
          <w:sz w:val="16"/>
          <w:szCs w:val="16"/>
        </w:rPr>
        <w:id w:val="-106950297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C53F4D">
              <w:rPr>
                <w:rFonts w:ascii="Arial" w:hAnsi="Arial" w:cs="Arial"/>
                <w:sz w:val="16"/>
                <w:szCs w:val="16"/>
              </w:rPr>
              <w:t xml:space="preserve">Page </w:t>
            </w:r>
            <w:r w:rsidRPr="00C53F4D">
              <w:rPr>
                <w:rFonts w:ascii="Arial" w:hAnsi="Arial" w:cs="Arial"/>
                <w:b/>
                <w:bCs/>
                <w:sz w:val="16"/>
                <w:szCs w:val="16"/>
              </w:rPr>
              <w:fldChar w:fldCharType="begin"/>
            </w:r>
            <w:r w:rsidRPr="00C53F4D">
              <w:rPr>
                <w:rFonts w:ascii="Arial" w:hAnsi="Arial" w:cs="Arial"/>
                <w:b/>
                <w:bCs/>
                <w:sz w:val="16"/>
                <w:szCs w:val="16"/>
              </w:rPr>
              <w:instrText xml:space="preserve"> PAGE </w:instrText>
            </w:r>
            <w:r w:rsidRPr="00C53F4D">
              <w:rPr>
                <w:rFonts w:ascii="Arial" w:hAnsi="Arial" w:cs="Arial"/>
                <w:b/>
                <w:bCs/>
                <w:sz w:val="16"/>
                <w:szCs w:val="16"/>
              </w:rPr>
              <w:fldChar w:fldCharType="separate"/>
            </w:r>
            <w:r w:rsidRPr="00C53F4D">
              <w:rPr>
                <w:rFonts w:ascii="Arial" w:hAnsi="Arial" w:cs="Arial"/>
                <w:b/>
                <w:bCs/>
                <w:noProof/>
                <w:sz w:val="16"/>
                <w:szCs w:val="16"/>
              </w:rPr>
              <w:t>2</w:t>
            </w:r>
            <w:r w:rsidRPr="00C53F4D">
              <w:rPr>
                <w:rFonts w:ascii="Arial" w:hAnsi="Arial" w:cs="Arial"/>
                <w:b/>
                <w:bCs/>
                <w:sz w:val="16"/>
                <w:szCs w:val="16"/>
              </w:rPr>
              <w:fldChar w:fldCharType="end"/>
            </w:r>
            <w:r w:rsidRPr="00C53F4D">
              <w:rPr>
                <w:rFonts w:ascii="Arial" w:hAnsi="Arial" w:cs="Arial"/>
                <w:sz w:val="16"/>
                <w:szCs w:val="16"/>
              </w:rPr>
              <w:t xml:space="preserve"> of </w:t>
            </w:r>
            <w:r w:rsidRPr="00C53F4D">
              <w:rPr>
                <w:rFonts w:ascii="Arial" w:hAnsi="Arial" w:cs="Arial"/>
                <w:b/>
                <w:bCs/>
                <w:sz w:val="16"/>
                <w:szCs w:val="16"/>
              </w:rPr>
              <w:fldChar w:fldCharType="begin"/>
            </w:r>
            <w:r w:rsidRPr="00C53F4D">
              <w:rPr>
                <w:rFonts w:ascii="Arial" w:hAnsi="Arial" w:cs="Arial"/>
                <w:b/>
                <w:bCs/>
                <w:sz w:val="16"/>
                <w:szCs w:val="16"/>
              </w:rPr>
              <w:instrText xml:space="preserve"> NUMPAGES  </w:instrText>
            </w:r>
            <w:r w:rsidRPr="00C53F4D">
              <w:rPr>
                <w:rFonts w:ascii="Arial" w:hAnsi="Arial" w:cs="Arial"/>
                <w:b/>
                <w:bCs/>
                <w:sz w:val="16"/>
                <w:szCs w:val="16"/>
              </w:rPr>
              <w:fldChar w:fldCharType="separate"/>
            </w:r>
            <w:r w:rsidRPr="00C53F4D">
              <w:rPr>
                <w:rFonts w:ascii="Arial" w:hAnsi="Arial" w:cs="Arial"/>
                <w:b/>
                <w:bCs/>
                <w:noProof/>
                <w:sz w:val="16"/>
                <w:szCs w:val="16"/>
              </w:rPr>
              <w:t>2</w:t>
            </w:r>
            <w:r w:rsidRPr="00C53F4D">
              <w:rPr>
                <w:rFonts w:ascii="Arial" w:hAnsi="Arial" w:cs="Arial"/>
                <w:b/>
                <w:bCs/>
                <w:sz w:val="16"/>
                <w:szCs w:val="16"/>
              </w:rPr>
              <w:fldChar w:fldCharType="end"/>
            </w:r>
          </w:sdtContent>
        </w:sdt>
      </w:sdtContent>
    </w:sdt>
  </w:p>
  <w:p w14:paraId="2E84484C" w14:textId="3FCBB5E8" w:rsidR="00C53F4D" w:rsidRPr="00C53F4D" w:rsidRDefault="00C53F4D" w:rsidP="00C53F4D">
    <w:pPr>
      <w:pStyle w:val="Footer"/>
      <w:rPr>
        <w:rFonts w:ascii="Arial" w:hAnsi="Arial" w:cs="Arial"/>
        <w:sz w:val="16"/>
        <w:szCs w:val="16"/>
      </w:rPr>
    </w:pPr>
    <w:r w:rsidRPr="00C53F4D">
      <w:rPr>
        <w:rFonts w:ascii="Arial" w:hAnsi="Arial" w:cs="Arial"/>
        <w:sz w:val="16"/>
        <w:szCs w:val="16"/>
      </w:rPr>
      <w:t>© SACE Board of South Australia 2020</w:t>
    </w:r>
  </w:p>
  <w:p w14:paraId="1D188C7D" w14:textId="77777777" w:rsidR="00C53F4D" w:rsidRDefault="00C53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B1C59" w14:textId="77777777" w:rsidR="00C00517" w:rsidRDefault="00C00517" w:rsidP="00ED725B">
      <w:pPr>
        <w:spacing w:after="0" w:line="240" w:lineRule="auto"/>
      </w:pPr>
      <w:r>
        <w:separator/>
      </w:r>
    </w:p>
  </w:footnote>
  <w:footnote w:type="continuationSeparator" w:id="0">
    <w:p w14:paraId="5E193619" w14:textId="77777777" w:rsidR="00C00517" w:rsidRDefault="00C00517" w:rsidP="00ED72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0CC6"/>
    <w:multiLevelType w:val="hybridMultilevel"/>
    <w:tmpl w:val="6E7CF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C36DB1"/>
    <w:multiLevelType w:val="hybridMultilevel"/>
    <w:tmpl w:val="C78A7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B641D5"/>
    <w:multiLevelType w:val="hybridMultilevel"/>
    <w:tmpl w:val="7B8C0C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9B6988"/>
    <w:multiLevelType w:val="hybridMultilevel"/>
    <w:tmpl w:val="C7604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F94402"/>
    <w:multiLevelType w:val="hybridMultilevel"/>
    <w:tmpl w:val="A630F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F24636"/>
    <w:multiLevelType w:val="hybridMultilevel"/>
    <w:tmpl w:val="A560C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96162B"/>
    <w:multiLevelType w:val="hybridMultilevel"/>
    <w:tmpl w:val="4AA63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9560D8"/>
    <w:multiLevelType w:val="hybridMultilevel"/>
    <w:tmpl w:val="FAC892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99A006C"/>
    <w:multiLevelType w:val="hybridMultilevel"/>
    <w:tmpl w:val="A7C83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BE1516"/>
    <w:multiLevelType w:val="hybridMultilevel"/>
    <w:tmpl w:val="5986C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6"/>
  </w:num>
  <w:num w:numId="5">
    <w:abstractNumId w:val="0"/>
  </w:num>
  <w:num w:numId="6">
    <w:abstractNumId w:val="4"/>
  </w:num>
  <w:num w:numId="7">
    <w:abstractNumId w:val="5"/>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0B0"/>
    <w:rsid w:val="0014123D"/>
    <w:rsid w:val="00165903"/>
    <w:rsid w:val="00185D5F"/>
    <w:rsid w:val="00187762"/>
    <w:rsid w:val="001A40B0"/>
    <w:rsid w:val="001D12B8"/>
    <w:rsid w:val="00200F92"/>
    <w:rsid w:val="002D7FAF"/>
    <w:rsid w:val="0037698B"/>
    <w:rsid w:val="003A0AC1"/>
    <w:rsid w:val="004220E2"/>
    <w:rsid w:val="00633966"/>
    <w:rsid w:val="0063461D"/>
    <w:rsid w:val="00692459"/>
    <w:rsid w:val="00813247"/>
    <w:rsid w:val="008524C6"/>
    <w:rsid w:val="008C1DBA"/>
    <w:rsid w:val="00961AF2"/>
    <w:rsid w:val="00993D09"/>
    <w:rsid w:val="009A5CC8"/>
    <w:rsid w:val="009B4BE2"/>
    <w:rsid w:val="009E3E86"/>
    <w:rsid w:val="00A84D47"/>
    <w:rsid w:val="00A97E53"/>
    <w:rsid w:val="00B10F60"/>
    <w:rsid w:val="00B65890"/>
    <w:rsid w:val="00B71E2F"/>
    <w:rsid w:val="00C00517"/>
    <w:rsid w:val="00C53F4D"/>
    <w:rsid w:val="00E439CF"/>
    <w:rsid w:val="00E92D49"/>
    <w:rsid w:val="00ED725B"/>
    <w:rsid w:val="00EF14B7"/>
    <w:rsid w:val="00F45548"/>
    <w:rsid w:val="00F56B87"/>
    <w:rsid w:val="00FA4A96"/>
    <w:rsid w:val="00FC2517"/>
    <w:rsid w:val="00FD48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3001"/>
  <w15:chartTrackingRefBased/>
  <w15:docId w15:val="{215DAEA7-2448-40CC-9B65-3164E0AC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DBA"/>
    <w:pPr>
      <w:ind w:left="720"/>
      <w:contextualSpacing/>
    </w:pPr>
  </w:style>
  <w:style w:type="paragraph" w:styleId="Header">
    <w:name w:val="header"/>
    <w:basedOn w:val="Normal"/>
    <w:link w:val="HeaderChar"/>
    <w:uiPriority w:val="99"/>
    <w:unhideWhenUsed/>
    <w:rsid w:val="00ED72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25B"/>
  </w:style>
  <w:style w:type="paragraph" w:styleId="Footer">
    <w:name w:val="footer"/>
    <w:basedOn w:val="Normal"/>
    <w:link w:val="FooterChar"/>
    <w:uiPriority w:val="99"/>
    <w:unhideWhenUsed/>
    <w:rsid w:val="00ED72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0964">
      <w:bodyDiv w:val="1"/>
      <w:marLeft w:val="0"/>
      <w:marRight w:val="0"/>
      <w:marTop w:val="0"/>
      <w:marBottom w:val="0"/>
      <w:divBdr>
        <w:top w:val="none" w:sz="0" w:space="0" w:color="auto"/>
        <w:left w:val="none" w:sz="0" w:space="0" w:color="auto"/>
        <w:bottom w:val="none" w:sz="0" w:space="0" w:color="auto"/>
        <w:right w:val="none" w:sz="0" w:space="0" w:color="auto"/>
      </w:divBdr>
    </w:div>
    <w:div w:id="479856719">
      <w:bodyDiv w:val="1"/>
      <w:marLeft w:val="0"/>
      <w:marRight w:val="0"/>
      <w:marTop w:val="0"/>
      <w:marBottom w:val="0"/>
      <w:divBdr>
        <w:top w:val="none" w:sz="0" w:space="0" w:color="auto"/>
        <w:left w:val="none" w:sz="0" w:space="0" w:color="auto"/>
        <w:bottom w:val="none" w:sz="0" w:space="0" w:color="auto"/>
        <w:right w:val="none" w:sz="0" w:space="0" w:color="auto"/>
      </w:divBdr>
    </w:div>
    <w:div w:id="665017907">
      <w:bodyDiv w:val="1"/>
      <w:marLeft w:val="0"/>
      <w:marRight w:val="0"/>
      <w:marTop w:val="0"/>
      <w:marBottom w:val="0"/>
      <w:divBdr>
        <w:top w:val="none" w:sz="0" w:space="0" w:color="auto"/>
        <w:left w:val="none" w:sz="0" w:space="0" w:color="auto"/>
        <w:bottom w:val="none" w:sz="0" w:space="0" w:color="auto"/>
        <w:right w:val="none" w:sz="0" w:space="0" w:color="auto"/>
      </w:divBdr>
    </w:div>
    <w:div w:id="728654089">
      <w:bodyDiv w:val="1"/>
      <w:marLeft w:val="0"/>
      <w:marRight w:val="0"/>
      <w:marTop w:val="0"/>
      <w:marBottom w:val="0"/>
      <w:divBdr>
        <w:top w:val="none" w:sz="0" w:space="0" w:color="auto"/>
        <w:left w:val="none" w:sz="0" w:space="0" w:color="auto"/>
        <w:bottom w:val="none" w:sz="0" w:space="0" w:color="auto"/>
        <w:right w:val="none" w:sz="0" w:space="0" w:color="auto"/>
      </w:divBdr>
    </w:div>
    <w:div w:id="1736394124">
      <w:bodyDiv w:val="1"/>
      <w:marLeft w:val="0"/>
      <w:marRight w:val="0"/>
      <w:marTop w:val="0"/>
      <w:marBottom w:val="0"/>
      <w:divBdr>
        <w:top w:val="none" w:sz="0" w:space="0" w:color="auto"/>
        <w:left w:val="none" w:sz="0" w:space="0" w:color="auto"/>
        <w:bottom w:val="none" w:sz="0" w:space="0" w:color="auto"/>
        <w:right w:val="none" w:sz="0" w:space="0" w:color="auto"/>
      </w:divBdr>
    </w:div>
    <w:div w:id="21203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CB029ECD6D85427BAD5E1D35DE4A29A4" version="1.0.0">
  <systemFields>
    <field name="Objective-Id">
      <value order="0">A950627</value>
    </field>
    <field name="Objective-Title">
      <value order="0">Stage 2 - Focus Area 2 - When rights collide - Two options</value>
    </field>
    <field name="Objective-Description">
      <value order="0"/>
    </field>
    <field name="Objective-CreationStamp">
      <value order="0">2020-11-27T00:28:22Z</value>
    </field>
    <field name="Objective-IsApproved">
      <value order="0">false</value>
    </field>
    <field name="Objective-IsPublished">
      <value order="0">true</value>
    </field>
    <field name="Objective-DatePublished">
      <value order="0">2020-11-27T00:31:19Z</value>
    </field>
    <field name="Objective-ModificationStamp">
      <value order="0">2020-11-27T00:31:19Z</value>
    </field>
    <field name="Objective-Owner">
      <value order="0">Karen Collins</value>
    </field>
    <field name="Objective-Path">
      <value order="0">Objective Global Folder:SACE Support Materials:SACE Support Materials Stage 2:Humanities and Social Sciences:Legal Studies (from 2021):focus areas</value>
    </field>
    <field name="Objective-Parent">
      <value order="0">focus areas</value>
    </field>
    <field name="Objective-State">
      <value order="0">Published</value>
    </field>
    <field name="Objective-VersionId">
      <value order="0">vA1608989</value>
    </field>
    <field name="Objective-Version">
      <value order="0">1.0</value>
    </field>
    <field name="Objective-VersionNumber">
      <value order="0">2</value>
    </field>
    <field name="Objective-VersionComment">
      <value order="0">footer</value>
    </field>
    <field name="Objective-FileNumber">
      <value order="0">qA17451</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A7876389AFCA4D9522C8D1F104CC11" ma:contentTypeVersion="12" ma:contentTypeDescription="Create a new document." ma:contentTypeScope="" ma:versionID="f799bb6c190b79affc07baa946fa36ec">
  <xsd:schema xmlns:xsd="http://www.w3.org/2001/XMLSchema" xmlns:xs="http://www.w3.org/2001/XMLSchema" xmlns:p="http://schemas.microsoft.com/office/2006/metadata/properties" xmlns:ns3="9e3846ed-42c6-478a-824e-2a7610e79bad" xmlns:ns4="ba80a52d-e772-44b7-99bd-014dbf1b3361" targetNamespace="http://schemas.microsoft.com/office/2006/metadata/properties" ma:root="true" ma:fieldsID="f3292e289cc73339ef84d56e3bb390bf" ns3:_="" ns4:_="">
    <xsd:import namespace="9e3846ed-42c6-478a-824e-2a7610e79bad"/>
    <xsd:import namespace="ba80a52d-e772-44b7-99bd-014dbf1b33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846ed-42c6-478a-824e-2a7610e79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80a52d-e772-44b7-99bd-014dbf1b336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6DA73FED-7414-4237-9D7F-4F7E16FA81D0}">
  <ds:schemaRefs>
    <ds:schemaRef ds:uri="http://purl.org/dc/terms/"/>
    <ds:schemaRef ds:uri="http://schemas.microsoft.com/office/infopath/2007/PartnerControls"/>
    <ds:schemaRef ds:uri="http://purl.org/dc/elements/1.1/"/>
    <ds:schemaRef ds:uri="http://schemas.microsoft.com/office/2006/documentManagement/types"/>
    <ds:schemaRef ds:uri="http://www.w3.org/XML/1998/namespace"/>
    <ds:schemaRef ds:uri="ba80a52d-e772-44b7-99bd-014dbf1b3361"/>
    <ds:schemaRef ds:uri="http://schemas.microsoft.com/office/2006/metadata/properties"/>
    <ds:schemaRef ds:uri="http://schemas.openxmlformats.org/package/2006/metadata/core-properties"/>
    <ds:schemaRef ds:uri="9e3846ed-42c6-478a-824e-2a7610e79bad"/>
    <ds:schemaRef ds:uri="http://purl.org/dc/dcmitype/"/>
  </ds:schemaRefs>
</ds:datastoreItem>
</file>

<file path=customXml/itemProps3.xml><?xml version="1.0" encoding="utf-8"?>
<ds:datastoreItem xmlns:ds="http://schemas.openxmlformats.org/officeDocument/2006/customXml" ds:itemID="{C2F378BB-A358-417A-B3DF-B457AF107048}">
  <ds:schemaRefs>
    <ds:schemaRef ds:uri="http://schemas.microsoft.com/sharepoint/v3/contenttype/forms"/>
  </ds:schemaRefs>
</ds:datastoreItem>
</file>

<file path=customXml/itemProps4.xml><?xml version="1.0" encoding="utf-8"?>
<ds:datastoreItem xmlns:ds="http://schemas.openxmlformats.org/officeDocument/2006/customXml" ds:itemID="{4CCB6869-9DB3-46CB-B365-4332835B9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846ed-42c6-478a-824e-2a7610e79bad"/>
    <ds:schemaRef ds:uri="ba80a52d-e772-44b7-99bd-014dbf1b3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NT Department of Education</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Eadie</dc:creator>
  <cp:keywords/>
  <dc:description/>
  <cp:lastModifiedBy>Collins, Karen (SACE)</cp:lastModifiedBy>
  <cp:revision>2</cp:revision>
  <dcterms:created xsi:type="dcterms:W3CDTF">2020-11-27T00:32:00Z</dcterms:created>
  <dcterms:modified xsi:type="dcterms:W3CDTF">2020-11-27T00:32:00Z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0x01010088A7876389AFCA4D9522C8D1F104CC11</vt:lpwstr>
  </property>
  <property fmtid="{D5CDD505-2E9C-101B-9397-08002B2CF9AE}" pid="3" name="Objective-Id">
    <vt:lpwstr>A950627</vt:lpwstr>
  </property>
  <property fmtid="{D5CDD505-2E9C-101B-9397-08002B2CF9AE}" pid="4" name="Objective-Title">
    <vt:lpwstr>Stage 2 - Focus Area 2 - When rights collide - Two options</vt:lpwstr>
  </property>
  <property fmtid="{D5CDD505-2E9C-101B-9397-08002B2CF9AE}" pid="5" name="Objective-Description">
    <vt:lpwstr/>
  </property>
  <property fmtid="{D5CDD505-2E9C-101B-9397-08002B2CF9AE}" pid="6" name="Objective-CreationStamp">
    <vt:filetime>2020-11-27T00:28:22Z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2020-11-27T00:31:19Z</vt:filetime>
  </property>
  <property fmtid="{D5CDD505-2E9C-101B-9397-08002B2CF9AE}" pid="10" name="Objective-ModificationStamp">
    <vt:filetime>2020-11-27T00:31:19Z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2:Humanities and Social Sciences:Legal Studies (from 2021):focus areas</vt:lpwstr>
  </property>
  <property fmtid="{D5CDD505-2E9C-101B-9397-08002B2CF9AE}" pid="13" name="Objective-Parent">
    <vt:lpwstr>focus areas</vt:lpwstr>
  </property>
  <property fmtid="{D5CDD505-2E9C-101B-9397-08002B2CF9AE}" pid="14" name="Objective-State">
    <vt:lpwstr>Published</vt:lpwstr>
  </property>
  <property fmtid="{D5CDD505-2E9C-101B-9397-08002B2CF9AE}" pid="15" name="Objective-VersionId">
    <vt:lpwstr>vA1608989</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footer</vt:lpwstr>
  </property>
  <property fmtid="{D5CDD505-2E9C-101B-9397-08002B2CF9AE}" pid="19" name="Objective-FileNumber">
    <vt:lpwstr>qA17451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ies>
</file>