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5A" w:rsidRPr="00853077" w:rsidRDefault="008240A1" w:rsidP="00D7267F">
      <w:pPr>
        <w:pStyle w:val="Heading10"/>
        <w:pBdr>
          <w:top w:val="single" w:sz="4" w:space="0" w:color="auto"/>
          <w:bottom w:val="single" w:sz="4" w:space="5" w:color="auto"/>
        </w:pBdr>
        <w:spacing w:before="0"/>
        <w:rPr>
          <w:color w:val="auto"/>
          <w:sz w:val="16"/>
          <w:szCs w:val="16"/>
        </w:rPr>
      </w:pPr>
      <w:r w:rsidRPr="008240A1">
        <w:rPr>
          <w:color w:val="auto"/>
          <w:sz w:val="36"/>
          <w:szCs w:val="36"/>
        </w:rPr>
        <w:t>S</w:t>
      </w:r>
      <w:r w:rsidR="00942A91">
        <w:rPr>
          <w:color w:val="auto"/>
          <w:sz w:val="36"/>
          <w:szCs w:val="36"/>
        </w:rPr>
        <w:t>ACE S</w:t>
      </w:r>
      <w:r w:rsidRPr="008240A1">
        <w:rPr>
          <w:color w:val="auto"/>
          <w:sz w:val="36"/>
          <w:szCs w:val="36"/>
        </w:rPr>
        <w:t>ubject Renewal</w:t>
      </w:r>
    </w:p>
    <w:p w:rsidR="008240A1" w:rsidRPr="00D7267F" w:rsidRDefault="00942A91" w:rsidP="00D7267F">
      <w:pPr>
        <w:pStyle w:val="Heading10"/>
        <w:pBdr>
          <w:top w:val="single" w:sz="4" w:space="0" w:color="auto"/>
          <w:bottom w:val="single" w:sz="4" w:space="5" w:color="auto"/>
        </w:pBdr>
        <w:spacing w:before="0"/>
        <w:rPr>
          <w:color w:val="auto"/>
          <w:sz w:val="16"/>
          <w:szCs w:val="16"/>
        </w:rPr>
      </w:pPr>
      <w:r>
        <w:rPr>
          <w:color w:val="auto"/>
          <w:szCs w:val="32"/>
        </w:rPr>
        <w:t>Quality Curriculum Indicators</w:t>
      </w:r>
    </w:p>
    <w:p w:rsidR="00D7267F" w:rsidRDefault="00D7267F" w:rsidP="008240A1">
      <w:pPr>
        <w:pStyle w:val="Heading2"/>
      </w:pPr>
    </w:p>
    <w:p w:rsidR="00FF52D0" w:rsidRPr="008240A1" w:rsidRDefault="00FF52D0" w:rsidP="008240A1">
      <w:pPr>
        <w:pStyle w:val="Heading2"/>
      </w:pPr>
      <w:r w:rsidRPr="008240A1">
        <w:t>Purpose</w:t>
      </w:r>
    </w:p>
    <w:p w:rsidR="00942A91" w:rsidRPr="007E12AB" w:rsidRDefault="00942A91" w:rsidP="00A344C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  <w:r w:rsidRPr="007E12AB">
        <w:rPr>
          <w:bCs/>
          <w:szCs w:val="20"/>
        </w:rPr>
        <w:t>The Quality Curriculum</w:t>
      </w:r>
      <w:r>
        <w:rPr>
          <w:bCs/>
          <w:szCs w:val="20"/>
        </w:rPr>
        <w:t xml:space="preserve"> Key Performance Indicators</w:t>
      </w:r>
      <w:r w:rsidRPr="007E12AB">
        <w:rPr>
          <w:bCs/>
          <w:szCs w:val="20"/>
        </w:rPr>
        <w:t xml:space="preserve"> </w:t>
      </w:r>
      <w:r>
        <w:rPr>
          <w:bCs/>
          <w:szCs w:val="20"/>
        </w:rPr>
        <w:t>(</w:t>
      </w:r>
      <w:r w:rsidRPr="007E12AB">
        <w:rPr>
          <w:bCs/>
          <w:szCs w:val="20"/>
        </w:rPr>
        <w:t>KPIs</w:t>
      </w:r>
      <w:r>
        <w:rPr>
          <w:bCs/>
          <w:szCs w:val="20"/>
        </w:rPr>
        <w:t>)</w:t>
      </w:r>
      <w:r w:rsidRPr="007E12AB">
        <w:rPr>
          <w:bCs/>
          <w:szCs w:val="20"/>
        </w:rPr>
        <w:t xml:space="preserve"> build on the principles of subject renewal set out in the new </w:t>
      </w:r>
      <w:r w:rsidRPr="007E12AB">
        <w:rPr>
          <w:bCs/>
          <w:i/>
          <w:szCs w:val="20"/>
        </w:rPr>
        <w:t>SACE Subject Renewal Policy</w:t>
      </w:r>
      <w:r w:rsidRPr="007E12AB">
        <w:rPr>
          <w:bCs/>
          <w:szCs w:val="20"/>
        </w:rPr>
        <w:t>, of:</w:t>
      </w:r>
    </w:p>
    <w:p w:rsidR="00942A91" w:rsidRPr="007E12AB" w:rsidRDefault="00942A91" w:rsidP="00942A9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120"/>
        <w:ind w:left="567" w:hanging="357"/>
        <w:textAlignment w:val="baseline"/>
        <w:rPr>
          <w:rFonts w:cs="Arial"/>
          <w:lang w:val="en-US"/>
        </w:rPr>
      </w:pPr>
      <w:r w:rsidRPr="007E12AB">
        <w:rPr>
          <w:rFonts w:cs="Arial"/>
          <w:lang w:val="en-US"/>
        </w:rPr>
        <w:t>quality learning</w:t>
      </w:r>
    </w:p>
    <w:p w:rsidR="00942A91" w:rsidRPr="007E12AB" w:rsidRDefault="00942A91" w:rsidP="00942A9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120"/>
        <w:ind w:left="567" w:hanging="357"/>
        <w:textAlignment w:val="baseline"/>
        <w:rPr>
          <w:rFonts w:cs="Arial"/>
          <w:lang w:val="en-US"/>
        </w:rPr>
      </w:pPr>
      <w:r w:rsidRPr="007E12AB">
        <w:rPr>
          <w:rFonts w:cs="Arial"/>
          <w:lang w:val="en-US"/>
        </w:rPr>
        <w:t>engagement</w:t>
      </w:r>
    </w:p>
    <w:p w:rsidR="00942A91" w:rsidRPr="007E12AB" w:rsidRDefault="00D7267F" w:rsidP="00942A9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120"/>
        <w:ind w:left="567" w:hanging="357"/>
        <w:textAlignment w:val="baseline"/>
        <w:rPr>
          <w:rFonts w:cs="Arial"/>
          <w:lang w:val="en-US"/>
        </w:rPr>
      </w:pPr>
      <w:r>
        <w:rPr>
          <w:rFonts w:cs="Arial"/>
          <w:lang w:val="en-US"/>
        </w:rPr>
        <w:t>innovation</w:t>
      </w:r>
    </w:p>
    <w:p w:rsidR="00942A91" w:rsidRPr="007E12AB" w:rsidRDefault="00942A91" w:rsidP="00942A9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120"/>
        <w:ind w:left="567" w:hanging="357"/>
        <w:textAlignment w:val="baseline"/>
        <w:rPr>
          <w:rFonts w:cs="Arial"/>
          <w:lang w:val="en-US"/>
        </w:rPr>
      </w:pPr>
      <w:r w:rsidRPr="007E12AB">
        <w:rPr>
          <w:rFonts w:cs="Arial"/>
          <w:lang w:val="en-US"/>
        </w:rPr>
        <w:t>quality assessment</w:t>
      </w:r>
    </w:p>
    <w:p w:rsidR="00942A91" w:rsidRPr="007E12AB" w:rsidRDefault="00942A91" w:rsidP="00942A9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120"/>
        <w:ind w:left="567" w:hanging="357"/>
        <w:textAlignment w:val="baseline"/>
        <w:rPr>
          <w:rFonts w:cs="Arial"/>
          <w:lang w:val="en-US"/>
        </w:rPr>
      </w:pPr>
      <w:r w:rsidRPr="007E12AB">
        <w:rPr>
          <w:rFonts w:cs="Arial"/>
          <w:lang w:val="en-US"/>
        </w:rPr>
        <w:t>manageability</w:t>
      </w:r>
    </w:p>
    <w:p w:rsidR="00942A91" w:rsidRPr="007E12AB" w:rsidRDefault="00942A91" w:rsidP="00A344C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</w:p>
    <w:p w:rsidR="00942A91" w:rsidRPr="007E12AB" w:rsidRDefault="00942A91" w:rsidP="00A344CB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7E12AB">
        <w:rPr>
          <w:bCs/>
          <w:szCs w:val="20"/>
        </w:rPr>
        <w:t xml:space="preserve">From these principles, five </w:t>
      </w:r>
      <w:r w:rsidRPr="007E12AB">
        <w:rPr>
          <w:szCs w:val="20"/>
        </w:rPr>
        <w:t>features of quality learni</w:t>
      </w:r>
      <w:r w:rsidR="00D7267F">
        <w:rPr>
          <w:szCs w:val="20"/>
        </w:rPr>
        <w:t>ng form the KPI focus areas of:</w:t>
      </w:r>
    </w:p>
    <w:p w:rsidR="00942A91" w:rsidRPr="007E12AB" w:rsidRDefault="00942A91" w:rsidP="00942A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ind w:left="567" w:hanging="357"/>
        <w:jc w:val="both"/>
        <w:textAlignment w:val="baseline"/>
        <w:rPr>
          <w:szCs w:val="20"/>
        </w:rPr>
      </w:pPr>
      <w:r w:rsidRPr="007E12AB">
        <w:rPr>
          <w:szCs w:val="20"/>
        </w:rPr>
        <w:t>Growth in capabilities</w:t>
      </w:r>
    </w:p>
    <w:p w:rsidR="00942A91" w:rsidRPr="007E12AB" w:rsidRDefault="00942A91" w:rsidP="00942A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ind w:left="567" w:hanging="357"/>
        <w:jc w:val="both"/>
        <w:textAlignment w:val="baseline"/>
        <w:rPr>
          <w:szCs w:val="20"/>
        </w:rPr>
      </w:pPr>
      <w:r w:rsidRPr="007E12AB">
        <w:rPr>
          <w:szCs w:val="20"/>
        </w:rPr>
        <w:t>Conceptual and contextual learning</w:t>
      </w:r>
    </w:p>
    <w:p w:rsidR="00942A91" w:rsidRPr="007E12AB" w:rsidRDefault="00942A91" w:rsidP="00942A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ind w:left="567" w:hanging="357"/>
        <w:jc w:val="both"/>
        <w:textAlignment w:val="baseline"/>
        <w:rPr>
          <w:szCs w:val="20"/>
        </w:rPr>
      </w:pPr>
      <w:r w:rsidRPr="007E12AB">
        <w:rPr>
          <w:szCs w:val="20"/>
        </w:rPr>
        <w:t>Transformative learning</w:t>
      </w:r>
    </w:p>
    <w:p w:rsidR="00942A91" w:rsidRPr="007E12AB" w:rsidRDefault="00942A91" w:rsidP="00942A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ind w:left="567" w:hanging="357"/>
        <w:jc w:val="both"/>
        <w:textAlignment w:val="baseline"/>
        <w:rPr>
          <w:szCs w:val="20"/>
        </w:rPr>
      </w:pPr>
      <w:r w:rsidRPr="007E12AB">
        <w:rPr>
          <w:szCs w:val="20"/>
        </w:rPr>
        <w:t>Relevant, engaging learning</w:t>
      </w:r>
    </w:p>
    <w:p w:rsidR="00942A91" w:rsidRPr="007E12AB" w:rsidRDefault="00942A91" w:rsidP="00942A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ind w:left="567" w:hanging="357"/>
        <w:jc w:val="both"/>
        <w:textAlignment w:val="baseline"/>
        <w:rPr>
          <w:szCs w:val="20"/>
        </w:rPr>
      </w:pPr>
      <w:r w:rsidRPr="007E12AB">
        <w:rPr>
          <w:szCs w:val="20"/>
        </w:rPr>
        <w:t>Collaborative learning.</w:t>
      </w:r>
    </w:p>
    <w:p w:rsidR="00942A91" w:rsidRPr="007E12AB" w:rsidRDefault="00942A91" w:rsidP="00A344CB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942A91" w:rsidRDefault="00942A91" w:rsidP="00942A91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  <w:r w:rsidRPr="007E12AB">
        <w:rPr>
          <w:szCs w:val="20"/>
        </w:rPr>
        <w:t xml:space="preserve">The Key Performance Indicators are derived from these features. To </w:t>
      </w:r>
      <w:r w:rsidRPr="007E12AB">
        <w:rPr>
          <w:bCs/>
          <w:szCs w:val="20"/>
        </w:rPr>
        <w:t xml:space="preserve">guide the work of reference and writing groups in renewing subjects, and enable </w:t>
      </w:r>
      <w:r>
        <w:rPr>
          <w:bCs/>
          <w:szCs w:val="20"/>
        </w:rPr>
        <w:t>the Board’s Accreditation, Recognition, and Certification Committee</w:t>
      </w:r>
      <w:r w:rsidRPr="007E12AB">
        <w:rPr>
          <w:bCs/>
          <w:szCs w:val="20"/>
        </w:rPr>
        <w:t xml:space="preserve"> to measure the KPIs when evaluating and recommending subjects to the Board for accreditation, the KPIs are supported by a series of</w:t>
      </w:r>
      <w:r>
        <w:rPr>
          <w:bCs/>
          <w:szCs w:val="20"/>
        </w:rPr>
        <w:t xml:space="preserve"> guiding questions, as follows:</w:t>
      </w:r>
    </w:p>
    <w:p w:rsidR="00942A91" w:rsidRPr="007E12AB" w:rsidRDefault="00942A91" w:rsidP="00942A91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60"/>
        <w:gridCol w:w="3561"/>
      </w:tblGrid>
      <w:tr w:rsidR="00942A91" w:rsidRPr="007E12AB" w:rsidTr="005F1981">
        <w:trPr>
          <w:tblHeader/>
        </w:trPr>
        <w:tc>
          <w:tcPr>
            <w:tcW w:w="2518" w:type="dxa"/>
            <w:shd w:val="clear" w:color="auto" w:fill="00B0F0"/>
          </w:tcPr>
          <w:p w:rsidR="00942A91" w:rsidRPr="007E12AB" w:rsidRDefault="00942A91" w:rsidP="00A344CB">
            <w:pPr>
              <w:spacing w:before="120" w:after="120"/>
              <w:jc w:val="center"/>
              <w:rPr>
                <w:rFonts w:cs="Arial"/>
                <w:b/>
                <w:lang w:val="en-US"/>
              </w:rPr>
            </w:pPr>
            <w:r w:rsidRPr="007E12AB">
              <w:rPr>
                <w:rFonts w:cs="Arial"/>
                <w:b/>
                <w:lang w:val="en-US"/>
              </w:rPr>
              <w:t>KPI focus areas</w:t>
            </w:r>
          </w:p>
        </w:tc>
        <w:tc>
          <w:tcPr>
            <w:tcW w:w="3560" w:type="dxa"/>
            <w:shd w:val="clear" w:color="auto" w:fill="00B0F0"/>
          </w:tcPr>
          <w:p w:rsidR="00942A91" w:rsidRPr="007E12AB" w:rsidRDefault="00942A91" w:rsidP="00A344CB">
            <w:pPr>
              <w:spacing w:before="120" w:after="120"/>
              <w:jc w:val="center"/>
              <w:rPr>
                <w:rFonts w:cs="Arial"/>
                <w:b/>
                <w:lang w:val="en-US"/>
              </w:rPr>
            </w:pPr>
            <w:r w:rsidRPr="007E12AB">
              <w:rPr>
                <w:rFonts w:cs="Arial"/>
                <w:b/>
                <w:lang w:val="en-US"/>
              </w:rPr>
              <w:t>Key Performance Indicators</w:t>
            </w:r>
          </w:p>
        </w:tc>
        <w:tc>
          <w:tcPr>
            <w:tcW w:w="3561" w:type="dxa"/>
            <w:shd w:val="clear" w:color="auto" w:fill="00B0F0"/>
          </w:tcPr>
          <w:p w:rsidR="00942A91" w:rsidRPr="007E12AB" w:rsidRDefault="00942A91" w:rsidP="00A344CB">
            <w:pPr>
              <w:spacing w:before="120" w:after="120"/>
              <w:jc w:val="center"/>
              <w:rPr>
                <w:rFonts w:cs="Arial"/>
                <w:b/>
                <w:lang w:val="en-US"/>
              </w:rPr>
            </w:pPr>
            <w:r w:rsidRPr="007E12AB">
              <w:rPr>
                <w:rFonts w:cs="Arial"/>
                <w:b/>
                <w:lang w:val="en-US"/>
              </w:rPr>
              <w:t xml:space="preserve">Guiding questions </w:t>
            </w:r>
            <w:r w:rsidRPr="007E12AB">
              <w:rPr>
                <w:rFonts w:cs="Arial"/>
                <w:b/>
                <w:lang w:val="en-US"/>
              </w:rPr>
              <w:br/>
              <w:t>to measure KPIs</w:t>
            </w:r>
          </w:p>
        </w:tc>
      </w:tr>
      <w:tr w:rsidR="00942A91" w:rsidRPr="007E12AB" w:rsidTr="005F1981">
        <w:tc>
          <w:tcPr>
            <w:tcW w:w="2518" w:type="dxa"/>
            <w:shd w:val="clear" w:color="auto" w:fill="auto"/>
          </w:tcPr>
          <w:p w:rsidR="00942A91" w:rsidRPr="007E12AB" w:rsidRDefault="00942A91" w:rsidP="00A344CB">
            <w:pPr>
              <w:spacing w:before="120" w:after="120"/>
              <w:rPr>
                <w:rFonts w:cs="Arial"/>
                <w:bCs/>
                <w:lang w:val="en-US"/>
              </w:rPr>
            </w:pPr>
            <w:r w:rsidRPr="007E12AB">
              <w:rPr>
                <w:rFonts w:cs="Arial"/>
                <w:bCs/>
                <w:lang w:val="en-US"/>
              </w:rPr>
              <w:t>Growth in capabilities</w:t>
            </w:r>
          </w:p>
        </w:tc>
        <w:tc>
          <w:tcPr>
            <w:tcW w:w="3560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emphasis in the capabilities is shi</w:t>
            </w:r>
            <w:r w:rsidR="00D7267F">
              <w:rPr>
                <w:rFonts w:cs="Arial"/>
                <w:lang w:val="en-US"/>
              </w:rPr>
              <w:t>fted from ‘develop’ to ‘extend’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the capabilities are integrated into the learning and assessment design in ways that highlight learning progression, transform learning, and nurture students’ cognitive flexibility</w:t>
            </w:r>
          </w:p>
        </w:tc>
        <w:tc>
          <w:tcPr>
            <w:tcW w:w="3561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where</w:t>
            </w:r>
            <w:proofErr w:type="gramEnd"/>
            <w:r w:rsidRPr="007E12AB">
              <w:rPr>
                <w:rFonts w:cs="Arial"/>
                <w:lang w:val="en-US"/>
              </w:rPr>
              <w:t xml:space="preserve"> and how are the capabilities integrated?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where</w:t>
            </w:r>
            <w:proofErr w:type="gramEnd"/>
            <w:r w:rsidRPr="007E12AB">
              <w:rPr>
                <w:rFonts w:cs="Arial"/>
                <w:lang w:val="en-US"/>
              </w:rPr>
              <w:t xml:space="preserve"> is there clear evidence of learning progression?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do we know that this evidence shows learning progression, transforms learning, and nurtures students’ cognitive flexibility?</w:t>
            </w:r>
          </w:p>
        </w:tc>
        <w:bookmarkStart w:id="0" w:name="_GoBack"/>
        <w:bookmarkEnd w:id="0"/>
      </w:tr>
      <w:tr w:rsidR="00942A91" w:rsidRPr="007E12AB" w:rsidTr="005F1981">
        <w:tc>
          <w:tcPr>
            <w:tcW w:w="2518" w:type="dxa"/>
            <w:shd w:val="clear" w:color="auto" w:fill="auto"/>
          </w:tcPr>
          <w:p w:rsidR="00942A91" w:rsidRPr="007E12AB" w:rsidRDefault="00942A91" w:rsidP="00A344CB">
            <w:pPr>
              <w:spacing w:before="120" w:after="120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Conceptual and contextual learning</w:t>
            </w:r>
          </w:p>
        </w:tc>
        <w:tc>
          <w:tcPr>
            <w:tcW w:w="3560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bCs/>
                <w:lang w:val="en-US"/>
              </w:rPr>
            </w:pPr>
            <w:r w:rsidRPr="007E12AB">
              <w:rPr>
                <w:rFonts w:cs="Arial"/>
                <w:lang w:val="en-US"/>
              </w:rPr>
              <w:t>subject design is reframed from topics to concepts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 xml:space="preserve">subject design is conceptually adaptable, futures-enabling, and technologically relevant </w:t>
            </w:r>
          </w:p>
          <w:p w:rsidR="00942A91" w:rsidRPr="00D7267F" w:rsidRDefault="00942A91" w:rsidP="00A344CB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lastRenderedPageBreak/>
              <w:t>learning and assessment design focus on what students do with what they know, as well as on what they know</w:t>
            </w:r>
          </w:p>
        </w:tc>
        <w:tc>
          <w:tcPr>
            <w:tcW w:w="3561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lastRenderedPageBreak/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does the presentation of the overarching concepts of a subject, and their interconnectedness, enable coherent conceptual learning?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lastRenderedPageBreak/>
              <w:t>is</w:t>
            </w:r>
            <w:proofErr w:type="gramEnd"/>
            <w:r w:rsidRPr="007E12AB">
              <w:rPr>
                <w:rFonts w:cs="Arial"/>
                <w:lang w:val="en-US"/>
              </w:rPr>
              <w:t xml:space="preserve"> there clear exemplification of how students engage with this learning?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where</w:t>
            </w:r>
            <w:proofErr w:type="gramEnd"/>
            <w:r w:rsidRPr="007E12AB">
              <w:rPr>
                <w:rFonts w:cs="Arial"/>
                <w:lang w:val="en-US"/>
              </w:rPr>
              <w:t xml:space="preserve"> is the scope for the subject to be responsive to emerging understanding about learning and capabilities?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relevant and adaptable is the integration of technology in learning and assessment?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well does the subject enable students to integrate, apply, and </w:t>
            </w:r>
            <w:proofErr w:type="spellStart"/>
            <w:r w:rsidRPr="007E12AB">
              <w:rPr>
                <w:rFonts w:cs="Arial"/>
                <w:lang w:val="en-US"/>
              </w:rPr>
              <w:t>synthesise</w:t>
            </w:r>
            <w:proofErr w:type="spellEnd"/>
            <w:r w:rsidRPr="007E12AB">
              <w:rPr>
                <w:rFonts w:cs="Arial"/>
                <w:lang w:val="en-US"/>
              </w:rPr>
              <w:t xml:space="preserve"> knowledge, skills, understanding in unfamiliar or unanticipated contexts?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and where does the subject enable students to scope and understand the nature and dimensions of a problem or challenge, use transferable skills, and develop the disposition to try different approaches?</w:t>
            </w:r>
          </w:p>
        </w:tc>
      </w:tr>
      <w:tr w:rsidR="00942A91" w:rsidRPr="007E12AB" w:rsidTr="005F1981">
        <w:tc>
          <w:tcPr>
            <w:tcW w:w="2518" w:type="dxa"/>
            <w:shd w:val="clear" w:color="auto" w:fill="auto"/>
          </w:tcPr>
          <w:p w:rsidR="00942A91" w:rsidRPr="007E12AB" w:rsidRDefault="00942A91" w:rsidP="00A344CB">
            <w:pPr>
              <w:spacing w:before="120" w:after="120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lastRenderedPageBreak/>
              <w:t>Transformative learning</w:t>
            </w:r>
          </w:p>
        </w:tc>
        <w:tc>
          <w:tcPr>
            <w:tcW w:w="3560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/>
              <w:ind w:left="357" w:hanging="357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the subject leads as well as responds to change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/>
              <w:ind w:left="357" w:hanging="357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the subject enables students to create/collaborate on solutions, ideas, products that are purposeful, relevant, and engaging in themselves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60"/>
              <w:ind w:left="357" w:hanging="357"/>
              <w:textAlignment w:val="baseline"/>
              <w:rPr>
                <w:rFonts w:cs="Arial"/>
                <w:b/>
                <w:bCs/>
                <w:lang w:val="en-US"/>
              </w:rPr>
            </w:pPr>
            <w:r w:rsidRPr="007E12AB">
              <w:rPr>
                <w:rFonts w:cs="Arial"/>
                <w:lang w:val="en-US"/>
              </w:rPr>
              <w:t>the subject encourages and inspires innovative learning</w:t>
            </w:r>
          </w:p>
        </w:tc>
        <w:tc>
          <w:tcPr>
            <w:tcW w:w="3561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flexible and adaptable is the subject’s conceptual framework, to achieve this? 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does the subject extend students’ creative and critical thinking?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what</w:t>
            </w:r>
            <w:proofErr w:type="gramEnd"/>
            <w:r w:rsidRPr="007E12AB">
              <w:rPr>
                <w:rFonts w:cs="Arial"/>
                <w:lang w:val="en-US"/>
              </w:rPr>
              <w:t xml:space="preserve"> makes the learning innovative? </w:t>
            </w:r>
            <w:proofErr w:type="gramStart"/>
            <w:r w:rsidRPr="007E12AB">
              <w:rPr>
                <w:rFonts w:cs="Arial"/>
                <w:lang w:val="en-US"/>
              </w:rPr>
              <w:t>what</w:t>
            </w:r>
            <w:proofErr w:type="gramEnd"/>
            <w:r w:rsidRPr="007E12AB">
              <w:rPr>
                <w:rFonts w:cs="Arial"/>
                <w:lang w:val="en-US"/>
              </w:rPr>
              <w:t xml:space="preserve"> and where are the features?</w:t>
            </w:r>
          </w:p>
        </w:tc>
      </w:tr>
      <w:tr w:rsidR="00942A91" w:rsidRPr="007E12AB" w:rsidTr="005F1981">
        <w:tc>
          <w:tcPr>
            <w:tcW w:w="2518" w:type="dxa"/>
            <w:shd w:val="clear" w:color="auto" w:fill="auto"/>
          </w:tcPr>
          <w:p w:rsidR="00942A91" w:rsidRPr="007E12AB" w:rsidRDefault="00942A91" w:rsidP="00A344CB">
            <w:pPr>
              <w:spacing w:before="120" w:after="120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Relevant, engaging learning</w:t>
            </w:r>
          </w:p>
        </w:tc>
        <w:tc>
          <w:tcPr>
            <w:tcW w:w="3560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the conceptual and contextual learning and the assessment are active (not passive)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the subject enables students to be self-directed learners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 xml:space="preserve">the breadth of study is adaptable and supports learning in depth </w:t>
            </w:r>
          </w:p>
        </w:tc>
        <w:tc>
          <w:tcPr>
            <w:tcW w:w="3561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what</w:t>
            </w:r>
            <w:proofErr w:type="gramEnd"/>
            <w:r w:rsidRPr="007E12AB">
              <w:rPr>
                <w:rFonts w:cs="Arial"/>
                <w:lang w:val="en-US"/>
              </w:rPr>
              <w:t xml:space="preserve"> does active learning look like? </w:t>
            </w:r>
            <w:proofErr w:type="gramStart"/>
            <w:r w:rsidRPr="007E12AB">
              <w:rPr>
                <w:rFonts w:cs="Arial"/>
                <w:lang w:val="en-US"/>
              </w:rPr>
              <w:t>in</w:t>
            </w:r>
            <w:proofErr w:type="gramEnd"/>
            <w:r w:rsidRPr="007E12AB">
              <w:rPr>
                <w:rFonts w:cs="Arial"/>
                <w:lang w:val="en-US"/>
              </w:rPr>
              <w:t xml:space="preserve"> what ways is the learning active ? 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to</w:t>
            </w:r>
            <w:proofErr w:type="gramEnd"/>
            <w:r w:rsidRPr="007E12AB">
              <w:rPr>
                <w:rFonts w:cs="Arial"/>
                <w:lang w:val="en-US"/>
              </w:rPr>
              <w:t xml:space="preserve"> what extent do students have meaningful opportunities to develop as self-directed learners?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is</w:t>
            </w:r>
            <w:proofErr w:type="gramEnd"/>
            <w:r w:rsidRPr="007E12AB">
              <w:rPr>
                <w:rFonts w:cs="Arial"/>
                <w:lang w:val="en-US"/>
              </w:rPr>
              <w:t xml:space="preserve"> there potential for breadth to restrict depth? (</w:t>
            </w:r>
            <w:proofErr w:type="gramStart"/>
            <w:r w:rsidRPr="007E12AB">
              <w:rPr>
                <w:rFonts w:cs="Arial"/>
                <w:lang w:val="en-US"/>
              </w:rPr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much is too much?)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where</w:t>
            </w:r>
            <w:proofErr w:type="gramEnd"/>
            <w:r w:rsidRPr="007E12AB">
              <w:rPr>
                <w:rFonts w:cs="Arial"/>
                <w:lang w:val="en-US"/>
              </w:rPr>
              <w:t xml:space="preserve"> is the scope in the </w:t>
            </w:r>
            <w:r w:rsidRPr="007E12AB">
              <w:rPr>
                <w:rFonts w:cs="Arial"/>
                <w:lang w:val="en-US"/>
              </w:rPr>
              <w:lastRenderedPageBreak/>
              <w:t>subject’s conceptual frame to adapt to new ways of thinking and acting?</w:t>
            </w:r>
          </w:p>
        </w:tc>
      </w:tr>
      <w:tr w:rsidR="00942A91" w:rsidRPr="007E12AB" w:rsidTr="005F1981">
        <w:tc>
          <w:tcPr>
            <w:tcW w:w="2518" w:type="dxa"/>
            <w:shd w:val="clear" w:color="auto" w:fill="auto"/>
          </w:tcPr>
          <w:p w:rsidR="00942A91" w:rsidRPr="007E12AB" w:rsidRDefault="00942A91" w:rsidP="00A344CB">
            <w:pPr>
              <w:spacing w:before="120" w:after="120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lastRenderedPageBreak/>
              <w:t>Collaborative learning</w:t>
            </w:r>
          </w:p>
        </w:tc>
        <w:tc>
          <w:tcPr>
            <w:tcW w:w="3560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bCs/>
                <w:lang w:val="en-US"/>
              </w:rPr>
              <w:t xml:space="preserve">collaborative learning is integrated into the subject </w:t>
            </w:r>
            <w:r w:rsidRPr="007E12AB">
              <w:rPr>
                <w:rFonts w:cs="Arial"/>
                <w:lang w:val="en-US"/>
              </w:rPr>
              <w:t>in ways that move from transitional to transformational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the purposes of collaborative learning and assessment are clear in the subject design</w:t>
            </w:r>
          </w:p>
        </w:tc>
        <w:tc>
          <w:tcPr>
            <w:tcW w:w="3561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where</w:t>
            </w:r>
            <w:proofErr w:type="gramEnd"/>
            <w:r w:rsidRPr="007E12AB">
              <w:rPr>
                <w:rFonts w:cs="Arial"/>
                <w:lang w:val="en-US"/>
              </w:rPr>
              <w:t xml:space="preserve"> and how is collaborative learning integrated?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what</w:t>
            </w:r>
            <w:proofErr w:type="gramEnd"/>
            <w:r w:rsidRPr="007E12AB">
              <w:rPr>
                <w:rFonts w:cs="Arial"/>
                <w:lang w:val="en-US"/>
              </w:rPr>
              <w:t xml:space="preserve"> is the nature of the evidence of learning?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6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is</w:t>
            </w:r>
            <w:proofErr w:type="gramEnd"/>
            <w:r w:rsidRPr="007E12AB">
              <w:rPr>
                <w:rFonts w:cs="Arial"/>
                <w:lang w:val="en-US"/>
              </w:rPr>
              <w:t xml:space="preserve"> there enough guidance and support for teachers and students?</w:t>
            </w:r>
          </w:p>
        </w:tc>
      </w:tr>
      <w:tr w:rsidR="00942A91" w:rsidRPr="007E12AB" w:rsidTr="005F1981">
        <w:tc>
          <w:tcPr>
            <w:tcW w:w="2518" w:type="dxa"/>
            <w:shd w:val="clear" w:color="auto" w:fill="auto"/>
          </w:tcPr>
          <w:p w:rsidR="00942A91" w:rsidRPr="007E12AB" w:rsidRDefault="00942A91" w:rsidP="00A344CB">
            <w:pPr>
              <w:spacing w:before="120" w:after="120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Quality assessment</w:t>
            </w:r>
          </w:p>
        </w:tc>
        <w:tc>
          <w:tcPr>
            <w:tcW w:w="3560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reflects the nature of learning in the subject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focuses on students applying conceptual learning, skills, and capabilities in unfamiliar or unanticipated contexts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 xml:space="preserve">enables students to create/collaborate on purposeful, relevant, and engaging solutions, ideas, and products 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encourages multimodal evidence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is manageable for students and teachers</w:t>
            </w:r>
          </w:p>
          <w:p w:rsidR="00942A91" w:rsidRPr="007E12AB" w:rsidRDefault="00942A91" w:rsidP="00942A9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lang w:val="en-US"/>
              </w:rPr>
            </w:pPr>
            <w:r w:rsidRPr="007E12AB">
              <w:rPr>
                <w:rFonts w:cs="Arial"/>
                <w:lang w:val="en-US"/>
              </w:rPr>
              <w:t>does not focus on content coverage</w:t>
            </w:r>
          </w:p>
        </w:tc>
        <w:tc>
          <w:tcPr>
            <w:tcW w:w="3561" w:type="dxa"/>
            <w:shd w:val="clear" w:color="auto" w:fill="auto"/>
          </w:tcPr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creative is the assessment design, to reflect the nature of the learning?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clearly do the assessments focus on higher-order thinking?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purposeful, relevant, and engaging are the assessments?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do</w:t>
            </w:r>
            <w:proofErr w:type="gramEnd"/>
            <w:r w:rsidRPr="007E12AB">
              <w:rPr>
                <w:rFonts w:cs="Arial"/>
                <w:lang w:val="en-US"/>
              </w:rPr>
              <w:t xml:space="preserve"> each of the assessment type specifications </w:t>
            </w:r>
            <w:proofErr w:type="spellStart"/>
            <w:r w:rsidRPr="007E12AB">
              <w:rPr>
                <w:rFonts w:cs="Arial"/>
                <w:lang w:val="en-US"/>
              </w:rPr>
              <w:t>maximise</w:t>
            </w:r>
            <w:proofErr w:type="spellEnd"/>
            <w:r w:rsidRPr="007E12AB">
              <w:rPr>
                <w:rFonts w:cs="Arial"/>
                <w:lang w:val="en-US"/>
              </w:rPr>
              <w:t xml:space="preserve"> the scope for valid task design? 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how</w:t>
            </w:r>
            <w:proofErr w:type="gramEnd"/>
            <w:r w:rsidRPr="007E12AB">
              <w:rPr>
                <w:rFonts w:cs="Arial"/>
                <w:lang w:val="en-US"/>
              </w:rPr>
              <w:t xml:space="preserve"> creative can students be in providing their evidence of learning?</w:t>
            </w:r>
          </w:p>
          <w:p w:rsidR="00942A91" w:rsidRPr="007E12AB" w:rsidRDefault="00942A91" w:rsidP="00942A91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357"/>
              <w:textAlignment w:val="baseline"/>
              <w:rPr>
                <w:rFonts w:cs="Arial"/>
                <w:lang w:val="en-US"/>
              </w:rPr>
            </w:pPr>
            <w:proofErr w:type="gramStart"/>
            <w:r w:rsidRPr="007E12AB">
              <w:rPr>
                <w:rFonts w:cs="Arial"/>
                <w:lang w:val="en-US"/>
              </w:rPr>
              <w:t>is</w:t>
            </w:r>
            <w:proofErr w:type="gramEnd"/>
            <w:r w:rsidRPr="007E12AB">
              <w:rPr>
                <w:rFonts w:cs="Arial"/>
                <w:lang w:val="en-US"/>
              </w:rPr>
              <w:t xml:space="preserve"> the assessment workload for students right?</w:t>
            </w:r>
          </w:p>
        </w:tc>
      </w:tr>
    </w:tbl>
    <w:p w:rsidR="005F695A" w:rsidRPr="008240A1" w:rsidRDefault="005F695A" w:rsidP="005F695A">
      <w:pPr>
        <w:pStyle w:val="Heading3"/>
        <w:rPr>
          <w:b w:val="0"/>
          <w:bCs/>
          <w:color w:val="414142"/>
          <w:sz w:val="20"/>
          <w:szCs w:val="20"/>
        </w:rPr>
      </w:pPr>
    </w:p>
    <w:sectPr w:rsidR="005F695A" w:rsidRPr="008240A1" w:rsidSect="00683EE8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3D" w:rsidRDefault="004E393D">
      <w:r>
        <w:separator/>
      </w:r>
    </w:p>
  </w:endnote>
  <w:endnote w:type="continuationSeparator" w:id="0">
    <w:p w:rsidR="004E393D" w:rsidRDefault="004E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77" w:rsidRDefault="00853077" w:rsidP="00853077">
    <w:pPr>
      <w:pStyle w:val="Footer"/>
      <w:tabs>
        <w:tab w:val="clear" w:pos="8640"/>
        <w:tab w:val="right" w:pos="9639"/>
      </w:tabs>
      <w:rPr>
        <w:rFonts w:cs="Arial"/>
        <w:sz w:val="16"/>
      </w:rPr>
    </w:pPr>
    <w:r>
      <w:rPr>
        <w:rFonts w:cs="Arial"/>
        <w:sz w:val="16"/>
      </w:rPr>
      <w:t>Subject Renewal — Quality Curriculum Key Performance Indicators</w:t>
    </w:r>
    <w:r>
      <w:rPr>
        <w:rFonts w:cs="Arial"/>
        <w:sz w:val="16"/>
      </w:rPr>
      <w:tab/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PAGE  \* MERGEFORMAT </w:instrText>
    </w:r>
    <w:r w:rsidRPr="0043075D">
      <w:rPr>
        <w:rFonts w:cs="Arial"/>
        <w:sz w:val="16"/>
      </w:rPr>
      <w:fldChar w:fldCharType="separate"/>
    </w:r>
    <w:r w:rsidR="005F1981">
      <w:rPr>
        <w:rFonts w:cs="Arial"/>
        <w:noProof/>
        <w:sz w:val="16"/>
      </w:rPr>
      <w:t>2</w:t>
    </w:r>
    <w:r w:rsidRPr="0043075D">
      <w:rPr>
        <w:rFonts w:cs="Arial"/>
        <w:sz w:val="16"/>
      </w:rPr>
      <w:fldChar w:fldCharType="end"/>
    </w:r>
    <w:r w:rsidRPr="0043075D">
      <w:rPr>
        <w:rFonts w:cs="Arial"/>
        <w:sz w:val="16"/>
      </w:rPr>
      <w:t xml:space="preserve"> of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NUMPAGES  \* MERGEFORMAT </w:instrText>
    </w:r>
    <w:r w:rsidRPr="0043075D">
      <w:rPr>
        <w:rFonts w:cs="Arial"/>
        <w:sz w:val="16"/>
      </w:rPr>
      <w:fldChar w:fldCharType="separate"/>
    </w:r>
    <w:r w:rsidR="005F1981">
      <w:rPr>
        <w:rFonts w:cs="Arial"/>
        <w:noProof/>
        <w:sz w:val="16"/>
      </w:rPr>
      <w:t>3</w:t>
    </w:r>
    <w:r w:rsidRPr="0043075D">
      <w:rPr>
        <w:rFonts w:cs="Arial"/>
        <w:sz w:val="16"/>
      </w:rPr>
      <w:fldChar w:fldCharType="end"/>
    </w:r>
  </w:p>
  <w:p w:rsidR="00466504" w:rsidRPr="00853077" w:rsidRDefault="00853077" w:rsidP="00853077">
    <w:pPr>
      <w:pStyle w:val="Footer"/>
    </w:pPr>
    <w:r w:rsidRPr="0043075D">
      <w:rPr>
        <w:rFonts w:cs="Arial"/>
        <w:sz w:val="16"/>
      </w:rPr>
      <w:t xml:space="preserve">Ref: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DOCPROPERTY  Objective-Id  \* MERGEFORMAT </w:instrText>
    </w:r>
    <w:r w:rsidRPr="0043075D">
      <w:rPr>
        <w:rFonts w:cs="Arial"/>
        <w:sz w:val="16"/>
      </w:rPr>
      <w:fldChar w:fldCharType="separate"/>
    </w:r>
    <w:r w:rsidR="00683EE8">
      <w:rPr>
        <w:rFonts w:cs="Arial"/>
        <w:sz w:val="16"/>
      </w:rPr>
      <w:t>A600273</w:t>
    </w:r>
    <w:r w:rsidRPr="0043075D">
      <w:rPr>
        <w:rFonts w:cs="Arial"/>
        <w:sz w:val="16"/>
      </w:rPr>
      <w:fldChar w:fldCharType="end"/>
    </w:r>
    <w:r w:rsidR="00D7267F">
      <w:rPr>
        <w:rFonts w:cs="Arial"/>
        <w:sz w:val="16"/>
      </w:rPr>
      <w:t xml:space="preserve">, </w:t>
    </w:r>
    <w:r w:rsidRPr="0043075D">
      <w:rPr>
        <w:rFonts w:cs="Arial"/>
        <w:sz w:val="16"/>
      </w:rPr>
      <w:t xml:space="preserve">Last Updated: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DOCPROPERTY  LastSavedTime  \* MERGEFORMAT </w:instrText>
    </w:r>
    <w:r w:rsidRPr="0043075D">
      <w:rPr>
        <w:rFonts w:cs="Arial"/>
        <w:sz w:val="16"/>
      </w:rPr>
      <w:fldChar w:fldCharType="separate"/>
    </w:r>
    <w:r w:rsidR="00683EE8">
      <w:rPr>
        <w:rFonts w:cs="Arial"/>
        <w:sz w:val="16"/>
      </w:rPr>
      <w:t>16/02/2017 16/02/2017 10:24:00 AM</w:t>
    </w:r>
    <w:r w:rsidRPr="0043075D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77" w:rsidRDefault="00853077" w:rsidP="00853077">
    <w:pPr>
      <w:pStyle w:val="Footer"/>
      <w:tabs>
        <w:tab w:val="clear" w:pos="8640"/>
        <w:tab w:val="right" w:pos="9639"/>
      </w:tabs>
      <w:rPr>
        <w:rFonts w:cs="Arial"/>
        <w:sz w:val="16"/>
      </w:rPr>
    </w:pPr>
    <w:r>
      <w:rPr>
        <w:rFonts w:cs="Arial"/>
        <w:sz w:val="16"/>
      </w:rPr>
      <w:t>Subject Renewal — Quality Curriculum Key Performance Indicators</w:t>
    </w:r>
    <w:r>
      <w:rPr>
        <w:rFonts w:cs="Arial"/>
        <w:sz w:val="16"/>
      </w:rPr>
      <w:tab/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PAGE  \* MERGEFORMAT </w:instrText>
    </w:r>
    <w:r w:rsidRPr="0043075D">
      <w:rPr>
        <w:rFonts w:cs="Arial"/>
        <w:sz w:val="16"/>
      </w:rPr>
      <w:fldChar w:fldCharType="separate"/>
    </w:r>
    <w:r w:rsidR="005F1981">
      <w:rPr>
        <w:rFonts w:cs="Arial"/>
        <w:noProof/>
        <w:sz w:val="16"/>
      </w:rPr>
      <w:t>3</w:t>
    </w:r>
    <w:r w:rsidRPr="0043075D">
      <w:rPr>
        <w:rFonts w:cs="Arial"/>
        <w:sz w:val="16"/>
      </w:rPr>
      <w:fldChar w:fldCharType="end"/>
    </w:r>
    <w:r w:rsidRPr="0043075D">
      <w:rPr>
        <w:rFonts w:cs="Arial"/>
        <w:sz w:val="16"/>
      </w:rPr>
      <w:t xml:space="preserve"> of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NUMPAGES  \* MERGEFORMAT </w:instrText>
    </w:r>
    <w:r w:rsidRPr="0043075D">
      <w:rPr>
        <w:rFonts w:cs="Arial"/>
        <w:sz w:val="16"/>
      </w:rPr>
      <w:fldChar w:fldCharType="separate"/>
    </w:r>
    <w:r w:rsidR="005F1981">
      <w:rPr>
        <w:rFonts w:cs="Arial"/>
        <w:noProof/>
        <w:sz w:val="16"/>
      </w:rPr>
      <w:t>3</w:t>
    </w:r>
    <w:r w:rsidRPr="0043075D">
      <w:rPr>
        <w:rFonts w:cs="Arial"/>
        <w:sz w:val="16"/>
      </w:rPr>
      <w:fldChar w:fldCharType="end"/>
    </w:r>
  </w:p>
  <w:p w:rsidR="00DF1381" w:rsidRPr="00853077" w:rsidRDefault="00853077" w:rsidP="00853077">
    <w:pPr>
      <w:pStyle w:val="Footer"/>
    </w:pPr>
    <w:r w:rsidRPr="0043075D">
      <w:rPr>
        <w:rFonts w:cs="Arial"/>
        <w:sz w:val="16"/>
      </w:rPr>
      <w:t xml:space="preserve">Ref: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DOCPROPERTY  Objective-Id  \* MERGEFORMAT </w:instrText>
    </w:r>
    <w:r w:rsidRPr="0043075D">
      <w:rPr>
        <w:rFonts w:cs="Arial"/>
        <w:sz w:val="16"/>
      </w:rPr>
      <w:fldChar w:fldCharType="separate"/>
    </w:r>
    <w:r w:rsidR="00683EE8">
      <w:rPr>
        <w:rFonts w:cs="Arial"/>
        <w:sz w:val="16"/>
      </w:rPr>
      <w:t>A600273</w:t>
    </w:r>
    <w:r w:rsidRPr="0043075D">
      <w:rPr>
        <w:rFonts w:cs="Arial"/>
        <w:sz w:val="16"/>
      </w:rPr>
      <w:fldChar w:fldCharType="end"/>
    </w:r>
    <w:r w:rsidR="00D7267F">
      <w:rPr>
        <w:rFonts w:cs="Arial"/>
        <w:sz w:val="16"/>
      </w:rPr>
      <w:t xml:space="preserve">, </w:t>
    </w:r>
    <w:r w:rsidRPr="0043075D">
      <w:rPr>
        <w:rFonts w:cs="Arial"/>
        <w:sz w:val="16"/>
      </w:rPr>
      <w:t xml:space="preserve">Last Updated: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DOCPROPERTY  LastSavedTime  \* MERGEFORMAT </w:instrText>
    </w:r>
    <w:r w:rsidRPr="0043075D">
      <w:rPr>
        <w:rFonts w:cs="Arial"/>
        <w:sz w:val="16"/>
      </w:rPr>
      <w:fldChar w:fldCharType="separate"/>
    </w:r>
    <w:r w:rsidR="00683EE8">
      <w:rPr>
        <w:rFonts w:cs="Arial"/>
        <w:sz w:val="16"/>
      </w:rPr>
      <w:t>16/02/2017 16/02/2017 10:24:00 AM</w:t>
    </w:r>
    <w:r w:rsidRPr="0043075D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Default="00853077" w:rsidP="00C928B4">
    <w:pPr>
      <w:pStyle w:val="Footer"/>
      <w:tabs>
        <w:tab w:val="clear" w:pos="8640"/>
        <w:tab w:val="right" w:pos="9639"/>
      </w:tabs>
      <w:rPr>
        <w:rFonts w:cs="Arial"/>
        <w:sz w:val="16"/>
      </w:rPr>
    </w:pPr>
    <w:r>
      <w:rPr>
        <w:rFonts w:cs="Arial"/>
        <w:sz w:val="16"/>
      </w:rPr>
      <w:t>Subject Renewal — Quality Curriculum Key Performance Indicators</w:t>
    </w:r>
    <w:r w:rsidR="0043075D">
      <w:rPr>
        <w:rFonts w:cs="Arial"/>
        <w:sz w:val="16"/>
      </w:rPr>
      <w:tab/>
    </w:r>
    <w:r w:rsidR="0043075D" w:rsidRPr="0043075D">
      <w:rPr>
        <w:rFonts w:cs="Arial"/>
        <w:sz w:val="16"/>
      </w:rPr>
      <w:fldChar w:fldCharType="begin"/>
    </w:r>
    <w:r w:rsidR="0043075D" w:rsidRPr="0043075D">
      <w:rPr>
        <w:rFonts w:cs="Arial"/>
        <w:sz w:val="16"/>
      </w:rPr>
      <w:instrText xml:space="preserve"> PAGE  \* MERGEFORMAT </w:instrText>
    </w:r>
    <w:r w:rsidR="0043075D" w:rsidRPr="0043075D">
      <w:rPr>
        <w:rFonts w:cs="Arial"/>
        <w:sz w:val="16"/>
      </w:rPr>
      <w:fldChar w:fldCharType="separate"/>
    </w:r>
    <w:r w:rsidR="005F1981">
      <w:rPr>
        <w:rFonts w:cs="Arial"/>
        <w:noProof/>
        <w:sz w:val="16"/>
      </w:rPr>
      <w:t>1</w:t>
    </w:r>
    <w:r w:rsidR="0043075D" w:rsidRPr="0043075D">
      <w:rPr>
        <w:rFonts w:cs="Arial"/>
        <w:sz w:val="16"/>
      </w:rPr>
      <w:fldChar w:fldCharType="end"/>
    </w:r>
    <w:r w:rsidR="0043075D" w:rsidRPr="0043075D">
      <w:rPr>
        <w:rFonts w:cs="Arial"/>
        <w:sz w:val="16"/>
      </w:rPr>
      <w:t xml:space="preserve"> of </w:t>
    </w:r>
    <w:r w:rsidR="0043075D" w:rsidRPr="0043075D">
      <w:rPr>
        <w:rFonts w:cs="Arial"/>
        <w:sz w:val="16"/>
      </w:rPr>
      <w:fldChar w:fldCharType="begin"/>
    </w:r>
    <w:r w:rsidR="0043075D" w:rsidRPr="0043075D">
      <w:rPr>
        <w:rFonts w:cs="Arial"/>
        <w:sz w:val="16"/>
      </w:rPr>
      <w:instrText xml:space="preserve"> NUMPAGES  \* MERGEFORMAT </w:instrText>
    </w:r>
    <w:r w:rsidR="0043075D" w:rsidRPr="0043075D">
      <w:rPr>
        <w:rFonts w:cs="Arial"/>
        <w:sz w:val="16"/>
      </w:rPr>
      <w:fldChar w:fldCharType="separate"/>
    </w:r>
    <w:r w:rsidR="005F1981">
      <w:rPr>
        <w:rFonts w:cs="Arial"/>
        <w:noProof/>
        <w:sz w:val="16"/>
      </w:rPr>
      <w:t>3</w:t>
    </w:r>
    <w:r w:rsidR="0043075D" w:rsidRPr="0043075D">
      <w:rPr>
        <w:rFonts w:cs="Arial"/>
        <w:sz w:val="16"/>
      </w:rPr>
      <w:fldChar w:fldCharType="end"/>
    </w:r>
  </w:p>
  <w:p w:rsidR="0043075D" w:rsidRDefault="0043075D">
    <w:pPr>
      <w:pStyle w:val="Footer"/>
    </w:pPr>
    <w:r w:rsidRPr="0043075D">
      <w:rPr>
        <w:rFonts w:cs="Arial"/>
        <w:sz w:val="16"/>
      </w:rPr>
      <w:t xml:space="preserve">Ref: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DOCPROPERTY  Objective-Id  \* MERGEFORMAT </w:instrText>
    </w:r>
    <w:r w:rsidRPr="0043075D">
      <w:rPr>
        <w:rFonts w:cs="Arial"/>
        <w:sz w:val="16"/>
      </w:rPr>
      <w:fldChar w:fldCharType="separate"/>
    </w:r>
    <w:r w:rsidR="00683EE8">
      <w:rPr>
        <w:rFonts w:cs="Arial"/>
        <w:sz w:val="16"/>
      </w:rPr>
      <w:t>A600273</w:t>
    </w:r>
    <w:r w:rsidRPr="0043075D">
      <w:rPr>
        <w:rFonts w:cs="Arial"/>
        <w:sz w:val="16"/>
      </w:rPr>
      <w:fldChar w:fldCharType="end"/>
    </w:r>
    <w:r w:rsidR="00D7267F">
      <w:rPr>
        <w:rFonts w:cs="Arial"/>
        <w:sz w:val="16"/>
      </w:rPr>
      <w:t xml:space="preserve">, </w:t>
    </w:r>
    <w:r w:rsidRPr="0043075D">
      <w:rPr>
        <w:rFonts w:cs="Arial"/>
        <w:sz w:val="16"/>
      </w:rPr>
      <w:t xml:space="preserve">Last Updated: </w:t>
    </w:r>
    <w:r w:rsidR="00D7267F">
      <w:rPr>
        <w:rFonts w:cs="Arial"/>
        <w:sz w:val="16"/>
      </w:rPr>
      <w:fldChar w:fldCharType="begin"/>
    </w:r>
    <w:r w:rsidR="00D7267F">
      <w:rPr>
        <w:rFonts w:cs="Arial"/>
        <w:sz w:val="16"/>
      </w:rPr>
      <w:instrText xml:space="preserve"> DATE \@ "d/MM/yyyy h:mm am/pm" </w:instrText>
    </w:r>
    <w:r w:rsidR="00D7267F">
      <w:rPr>
        <w:rFonts w:cs="Arial"/>
        <w:sz w:val="16"/>
      </w:rPr>
      <w:fldChar w:fldCharType="separate"/>
    </w:r>
    <w:r w:rsidR="00683EE8">
      <w:rPr>
        <w:rFonts w:cs="Arial"/>
        <w:noProof/>
        <w:sz w:val="16"/>
      </w:rPr>
      <w:t>16/02/2017 10:25 AM</w:t>
    </w:r>
    <w:r w:rsidR="00D7267F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3D" w:rsidRDefault="004E393D">
      <w:r>
        <w:separator/>
      </w:r>
    </w:p>
  </w:footnote>
  <w:footnote w:type="continuationSeparator" w:id="0">
    <w:p w:rsidR="004E393D" w:rsidRDefault="004E3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A30DB3">
    <w:pPr>
      <w:pStyle w:val="Header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8pt" o:ole="">
          <v:imagedata r:id="rId1" o:title=""/>
        </v:shape>
        <o:OLEObject Type="Embed" ProgID="Visio.Drawing.11" ShapeID="_x0000_i1025" DrawAspect="Content" ObjectID="_15487459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E16DC"/>
    <w:multiLevelType w:val="hybridMultilevel"/>
    <w:tmpl w:val="64BC11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2C697B"/>
    <w:multiLevelType w:val="hybridMultilevel"/>
    <w:tmpl w:val="D47C2DAA"/>
    <w:lvl w:ilvl="0" w:tplc="DB0AA56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41414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BB4378B"/>
    <w:multiLevelType w:val="hybridMultilevel"/>
    <w:tmpl w:val="05FCF02E"/>
    <w:lvl w:ilvl="0" w:tplc="98E2A4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B26C3D"/>
    <w:multiLevelType w:val="hybridMultilevel"/>
    <w:tmpl w:val="47F87074"/>
    <w:lvl w:ilvl="0" w:tplc="F75636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F4155C"/>
    <w:multiLevelType w:val="hybridMultilevel"/>
    <w:tmpl w:val="D0FAB348"/>
    <w:lvl w:ilvl="0" w:tplc="7758E7B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018364B"/>
    <w:multiLevelType w:val="hybridMultilevel"/>
    <w:tmpl w:val="15E2E63C"/>
    <w:lvl w:ilvl="0" w:tplc="98E2A4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57FB753E"/>
    <w:multiLevelType w:val="hybridMultilevel"/>
    <w:tmpl w:val="3F46AC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231398"/>
    <w:multiLevelType w:val="hybridMultilevel"/>
    <w:tmpl w:val="CA187B4E"/>
    <w:lvl w:ilvl="0" w:tplc="527CC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3"/>
  </w:num>
  <w:num w:numId="2">
    <w:abstractNumId w:val="21"/>
  </w:num>
  <w:num w:numId="3">
    <w:abstractNumId w:val="29"/>
  </w:num>
  <w:num w:numId="4">
    <w:abstractNumId w:val="19"/>
  </w:num>
  <w:num w:numId="5">
    <w:abstractNumId w:val="3"/>
  </w:num>
  <w:num w:numId="6">
    <w:abstractNumId w:val="27"/>
  </w:num>
  <w:num w:numId="7">
    <w:abstractNumId w:val="14"/>
  </w:num>
  <w:num w:numId="8">
    <w:abstractNumId w:val="12"/>
  </w:num>
  <w:num w:numId="9">
    <w:abstractNumId w:val="17"/>
  </w:num>
  <w:num w:numId="10">
    <w:abstractNumId w:val="18"/>
  </w:num>
  <w:num w:numId="11">
    <w:abstractNumId w:val="10"/>
  </w:num>
  <w:num w:numId="12">
    <w:abstractNumId w:val="20"/>
  </w:num>
  <w:num w:numId="13">
    <w:abstractNumId w:val="28"/>
  </w:num>
  <w:num w:numId="14">
    <w:abstractNumId w:val="8"/>
  </w:num>
  <w:num w:numId="15">
    <w:abstractNumId w:val="16"/>
  </w:num>
  <w:num w:numId="16">
    <w:abstractNumId w:val="26"/>
  </w:num>
  <w:num w:numId="17">
    <w:abstractNumId w:val="22"/>
  </w:num>
  <w:num w:numId="18">
    <w:abstractNumId w:val="9"/>
  </w:num>
  <w:num w:numId="19">
    <w:abstractNumId w:val="7"/>
  </w:num>
  <w:num w:numId="20">
    <w:abstractNumId w:val="15"/>
  </w:num>
  <w:num w:numId="21">
    <w:abstractNumId w:val="0"/>
  </w:num>
  <w:num w:numId="22">
    <w:abstractNumId w:val="11"/>
  </w:num>
  <w:num w:numId="23">
    <w:abstractNumId w:val="2"/>
  </w:num>
  <w:num w:numId="24">
    <w:abstractNumId w:val="1"/>
  </w:num>
  <w:num w:numId="25">
    <w:abstractNumId w:val="24"/>
  </w:num>
  <w:num w:numId="26">
    <w:abstractNumId w:val="25"/>
  </w:num>
  <w:num w:numId="27">
    <w:abstractNumId w:val="4"/>
  </w:num>
  <w:num w:numId="28">
    <w:abstractNumId w:val="13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63C5"/>
    <w:rsid w:val="000266F4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67A78"/>
    <w:rsid w:val="00080DA7"/>
    <w:rsid w:val="0008111F"/>
    <w:rsid w:val="000912C3"/>
    <w:rsid w:val="000A0910"/>
    <w:rsid w:val="000B5E9A"/>
    <w:rsid w:val="000B653E"/>
    <w:rsid w:val="000D0717"/>
    <w:rsid w:val="000D71E9"/>
    <w:rsid w:val="00100A9B"/>
    <w:rsid w:val="00103FC6"/>
    <w:rsid w:val="00106DA3"/>
    <w:rsid w:val="00110A29"/>
    <w:rsid w:val="00112A2C"/>
    <w:rsid w:val="00126982"/>
    <w:rsid w:val="00134F76"/>
    <w:rsid w:val="00136B33"/>
    <w:rsid w:val="00137D46"/>
    <w:rsid w:val="0014330C"/>
    <w:rsid w:val="00146D08"/>
    <w:rsid w:val="00163AA1"/>
    <w:rsid w:val="00164128"/>
    <w:rsid w:val="00195AC3"/>
    <w:rsid w:val="001A07EA"/>
    <w:rsid w:val="001A45B5"/>
    <w:rsid w:val="001B3C9B"/>
    <w:rsid w:val="001B47BC"/>
    <w:rsid w:val="001C2F8C"/>
    <w:rsid w:val="001D0CE4"/>
    <w:rsid w:val="001D191C"/>
    <w:rsid w:val="001E0C8C"/>
    <w:rsid w:val="001E467D"/>
    <w:rsid w:val="001E567A"/>
    <w:rsid w:val="001F3B56"/>
    <w:rsid w:val="00207B1E"/>
    <w:rsid w:val="00207FB3"/>
    <w:rsid w:val="00214C9B"/>
    <w:rsid w:val="0022220D"/>
    <w:rsid w:val="002253CD"/>
    <w:rsid w:val="00225E21"/>
    <w:rsid w:val="00234CFA"/>
    <w:rsid w:val="0023555C"/>
    <w:rsid w:val="00237074"/>
    <w:rsid w:val="002400F6"/>
    <w:rsid w:val="00241DEC"/>
    <w:rsid w:val="00243153"/>
    <w:rsid w:val="00246229"/>
    <w:rsid w:val="00246A61"/>
    <w:rsid w:val="00246EFA"/>
    <w:rsid w:val="0025410D"/>
    <w:rsid w:val="0026155F"/>
    <w:rsid w:val="00265BCC"/>
    <w:rsid w:val="00270A55"/>
    <w:rsid w:val="00270A83"/>
    <w:rsid w:val="00273526"/>
    <w:rsid w:val="00280C5B"/>
    <w:rsid w:val="00294972"/>
    <w:rsid w:val="002A0847"/>
    <w:rsid w:val="002A4B70"/>
    <w:rsid w:val="002B0662"/>
    <w:rsid w:val="002B0D95"/>
    <w:rsid w:val="002D525F"/>
    <w:rsid w:val="002D5274"/>
    <w:rsid w:val="002F6112"/>
    <w:rsid w:val="00301B3C"/>
    <w:rsid w:val="00303AAA"/>
    <w:rsid w:val="003044B9"/>
    <w:rsid w:val="00306F72"/>
    <w:rsid w:val="00311513"/>
    <w:rsid w:val="003123B3"/>
    <w:rsid w:val="0032615B"/>
    <w:rsid w:val="0032749B"/>
    <w:rsid w:val="00346026"/>
    <w:rsid w:val="00351AA4"/>
    <w:rsid w:val="00355031"/>
    <w:rsid w:val="00362CFB"/>
    <w:rsid w:val="00365488"/>
    <w:rsid w:val="00372956"/>
    <w:rsid w:val="00385FF9"/>
    <w:rsid w:val="00386115"/>
    <w:rsid w:val="0039344D"/>
    <w:rsid w:val="00393998"/>
    <w:rsid w:val="003A2BAB"/>
    <w:rsid w:val="003B028D"/>
    <w:rsid w:val="003B2B02"/>
    <w:rsid w:val="003B5123"/>
    <w:rsid w:val="003B54D5"/>
    <w:rsid w:val="003C2376"/>
    <w:rsid w:val="003C7F49"/>
    <w:rsid w:val="003E224A"/>
    <w:rsid w:val="003E2536"/>
    <w:rsid w:val="003F1400"/>
    <w:rsid w:val="00413197"/>
    <w:rsid w:val="004159FE"/>
    <w:rsid w:val="00425DE8"/>
    <w:rsid w:val="0043075D"/>
    <w:rsid w:val="00434347"/>
    <w:rsid w:val="00445FE6"/>
    <w:rsid w:val="004467A1"/>
    <w:rsid w:val="004474C4"/>
    <w:rsid w:val="00447A97"/>
    <w:rsid w:val="004564E8"/>
    <w:rsid w:val="00466504"/>
    <w:rsid w:val="00472039"/>
    <w:rsid w:val="0047316D"/>
    <w:rsid w:val="00486C2D"/>
    <w:rsid w:val="004924C4"/>
    <w:rsid w:val="0049323B"/>
    <w:rsid w:val="0049665F"/>
    <w:rsid w:val="004A2F7E"/>
    <w:rsid w:val="004A3975"/>
    <w:rsid w:val="004A564D"/>
    <w:rsid w:val="004B095D"/>
    <w:rsid w:val="004B21E3"/>
    <w:rsid w:val="004B2379"/>
    <w:rsid w:val="004B7B73"/>
    <w:rsid w:val="004C4B33"/>
    <w:rsid w:val="004E393D"/>
    <w:rsid w:val="004E43D1"/>
    <w:rsid w:val="004F0347"/>
    <w:rsid w:val="004F2A23"/>
    <w:rsid w:val="004F2E5B"/>
    <w:rsid w:val="00501A5E"/>
    <w:rsid w:val="005037D5"/>
    <w:rsid w:val="0051318C"/>
    <w:rsid w:val="005246F7"/>
    <w:rsid w:val="0053018A"/>
    <w:rsid w:val="00536EEE"/>
    <w:rsid w:val="00570090"/>
    <w:rsid w:val="00570D86"/>
    <w:rsid w:val="00571936"/>
    <w:rsid w:val="00571B51"/>
    <w:rsid w:val="0057214A"/>
    <w:rsid w:val="00573EF2"/>
    <w:rsid w:val="00574340"/>
    <w:rsid w:val="0058489A"/>
    <w:rsid w:val="00590BEC"/>
    <w:rsid w:val="005A3BE3"/>
    <w:rsid w:val="005A3FE4"/>
    <w:rsid w:val="005A537B"/>
    <w:rsid w:val="005A7B2B"/>
    <w:rsid w:val="005B03F1"/>
    <w:rsid w:val="005F067D"/>
    <w:rsid w:val="005F1981"/>
    <w:rsid w:val="005F695A"/>
    <w:rsid w:val="00621841"/>
    <w:rsid w:val="00621B5C"/>
    <w:rsid w:val="0062573C"/>
    <w:rsid w:val="00626837"/>
    <w:rsid w:val="00633C2B"/>
    <w:rsid w:val="0065146B"/>
    <w:rsid w:val="00654C77"/>
    <w:rsid w:val="00660189"/>
    <w:rsid w:val="00664E02"/>
    <w:rsid w:val="00671696"/>
    <w:rsid w:val="006748ED"/>
    <w:rsid w:val="00676F58"/>
    <w:rsid w:val="00683EE8"/>
    <w:rsid w:val="00684474"/>
    <w:rsid w:val="00685B8A"/>
    <w:rsid w:val="00687E49"/>
    <w:rsid w:val="0069698C"/>
    <w:rsid w:val="006A21FA"/>
    <w:rsid w:val="006A555F"/>
    <w:rsid w:val="006B156E"/>
    <w:rsid w:val="006C41B6"/>
    <w:rsid w:val="006C7B01"/>
    <w:rsid w:val="006F2A7A"/>
    <w:rsid w:val="006F7AC4"/>
    <w:rsid w:val="00700437"/>
    <w:rsid w:val="0071008F"/>
    <w:rsid w:val="007200B4"/>
    <w:rsid w:val="00721ACA"/>
    <w:rsid w:val="00724FF7"/>
    <w:rsid w:val="0072569B"/>
    <w:rsid w:val="007329FB"/>
    <w:rsid w:val="0075299C"/>
    <w:rsid w:val="007577DA"/>
    <w:rsid w:val="00762350"/>
    <w:rsid w:val="00771930"/>
    <w:rsid w:val="007812F6"/>
    <w:rsid w:val="007818E0"/>
    <w:rsid w:val="00797EB4"/>
    <w:rsid w:val="007A5756"/>
    <w:rsid w:val="007B089E"/>
    <w:rsid w:val="007B1B45"/>
    <w:rsid w:val="007B2350"/>
    <w:rsid w:val="007C2585"/>
    <w:rsid w:val="007C2A5C"/>
    <w:rsid w:val="007C31BE"/>
    <w:rsid w:val="007D2E4D"/>
    <w:rsid w:val="007F3E80"/>
    <w:rsid w:val="007F54DB"/>
    <w:rsid w:val="008133F1"/>
    <w:rsid w:val="00815CCD"/>
    <w:rsid w:val="00817E40"/>
    <w:rsid w:val="0082010B"/>
    <w:rsid w:val="00822F41"/>
    <w:rsid w:val="008240A1"/>
    <w:rsid w:val="00825C1B"/>
    <w:rsid w:val="008271C5"/>
    <w:rsid w:val="0083095F"/>
    <w:rsid w:val="00832E53"/>
    <w:rsid w:val="008360F7"/>
    <w:rsid w:val="00853077"/>
    <w:rsid w:val="00856493"/>
    <w:rsid w:val="00867D39"/>
    <w:rsid w:val="00880525"/>
    <w:rsid w:val="00881B44"/>
    <w:rsid w:val="00893C6C"/>
    <w:rsid w:val="00895B13"/>
    <w:rsid w:val="008A18B3"/>
    <w:rsid w:val="008B27C6"/>
    <w:rsid w:val="008C2400"/>
    <w:rsid w:val="008D717F"/>
    <w:rsid w:val="008E01E9"/>
    <w:rsid w:val="008F6B89"/>
    <w:rsid w:val="008F7A3D"/>
    <w:rsid w:val="0092176F"/>
    <w:rsid w:val="00925ED6"/>
    <w:rsid w:val="00926940"/>
    <w:rsid w:val="0093220D"/>
    <w:rsid w:val="0093770C"/>
    <w:rsid w:val="009414AD"/>
    <w:rsid w:val="00942A91"/>
    <w:rsid w:val="009451E6"/>
    <w:rsid w:val="009503F7"/>
    <w:rsid w:val="00955F5D"/>
    <w:rsid w:val="00966530"/>
    <w:rsid w:val="009712CC"/>
    <w:rsid w:val="00973D1C"/>
    <w:rsid w:val="009770D1"/>
    <w:rsid w:val="00996D29"/>
    <w:rsid w:val="009A7D3D"/>
    <w:rsid w:val="009B27B1"/>
    <w:rsid w:val="009C1010"/>
    <w:rsid w:val="009C694E"/>
    <w:rsid w:val="009E3631"/>
    <w:rsid w:val="009F6B1A"/>
    <w:rsid w:val="00A026AE"/>
    <w:rsid w:val="00A032A4"/>
    <w:rsid w:val="00A13F08"/>
    <w:rsid w:val="00A15D02"/>
    <w:rsid w:val="00A174F1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82B69"/>
    <w:rsid w:val="00A831A0"/>
    <w:rsid w:val="00A862E5"/>
    <w:rsid w:val="00A93C27"/>
    <w:rsid w:val="00A95A04"/>
    <w:rsid w:val="00A976E8"/>
    <w:rsid w:val="00AB52E5"/>
    <w:rsid w:val="00AB5B62"/>
    <w:rsid w:val="00AE4323"/>
    <w:rsid w:val="00AE44BB"/>
    <w:rsid w:val="00AE75C3"/>
    <w:rsid w:val="00AF48E1"/>
    <w:rsid w:val="00AF76F9"/>
    <w:rsid w:val="00B007B0"/>
    <w:rsid w:val="00B022D3"/>
    <w:rsid w:val="00B037F3"/>
    <w:rsid w:val="00B04790"/>
    <w:rsid w:val="00B052A5"/>
    <w:rsid w:val="00B05838"/>
    <w:rsid w:val="00B1384C"/>
    <w:rsid w:val="00B217F7"/>
    <w:rsid w:val="00B2552E"/>
    <w:rsid w:val="00B25645"/>
    <w:rsid w:val="00B330FF"/>
    <w:rsid w:val="00B33260"/>
    <w:rsid w:val="00B332B3"/>
    <w:rsid w:val="00B35228"/>
    <w:rsid w:val="00B361A6"/>
    <w:rsid w:val="00B3630A"/>
    <w:rsid w:val="00B41214"/>
    <w:rsid w:val="00B42F35"/>
    <w:rsid w:val="00B52FB4"/>
    <w:rsid w:val="00B560A4"/>
    <w:rsid w:val="00B61A9A"/>
    <w:rsid w:val="00B706F2"/>
    <w:rsid w:val="00B75062"/>
    <w:rsid w:val="00B77DAC"/>
    <w:rsid w:val="00B863C3"/>
    <w:rsid w:val="00B90D6F"/>
    <w:rsid w:val="00B91A7C"/>
    <w:rsid w:val="00B9249F"/>
    <w:rsid w:val="00B92CC7"/>
    <w:rsid w:val="00BA4FEC"/>
    <w:rsid w:val="00BA7317"/>
    <w:rsid w:val="00BA7AFF"/>
    <w:rsid w:val="00BB16D3"/>
    <w:rsid w:val="00BB3060"/>
    <w:rsid w:val="00BB33B9"/>
    <w:rsid w:val="00BB42CB"/>
    <w:rsid w:val="00BB693A"/>
    <w:rsid w:val="00BC65C1"/>
    <w:rsid w:val="00BD0D5D"/>
    <w:rsid w:val="00BD3ABD"/>
    <w:rsid w:val="00BD6512"/>
    <w:rsid w:val="00BE7279"/>
    <w:rsid w:val="00BF6ECD"/>
    <w:rsid w:val="00C0796E"/>
    <w:rsid w:val="00C07A2F"/>
    <w:rsid w:val="00C1022B"/>
    <w:rsid w:val="00C205CF"/>
    <w:rsid w:val="00C27296"/>
    <w:rsid w:val="00C33603"/>
    <w:rsid w:val="00C43B41"/>
    <w:rsid w:val="00C45CC1"/>
    <w:rsid w:val="00C5241C"/>
    <w:rsid w:val="00C61166"/>
    <w:rsid w:val="00C64500"/>
    <w:rsid w:val="00C67946"/>
    <w:rsid w:val="00C723FF"/>
    <w:rsid w:val="00C76C02"/>
    <w:rsid w:val="00C80D84"/>
    <w:rsid w:val="00C8351F"/>
    <w:rsid w:val="00C857AE"/>
    <w:rsid w:val="00C928B4"/>
    <w:rsid w:val="00CB1261"/>
    <w:rsid w:val="00CC7875"/>
    <w:rsid w:val="00CD7945"/>
    <w:rsid w:val="00CE136D"/>
    <w:rsid w:val="00CF39CB"/>
    <w:rsid w:val="00D06174"/>
    <w:rsid w:val="00D15FCD"/>
    <w:rsid w:val="00D21CA3"/>
    <w:rsid w:val="00D22FF1"/>
    <w:rsid w:val="00D24C83"/>
    <w:rsid w:val="00D272DD"/>
    <w:rsid w:val="00D32D59"/>
    <w:rsid w:val="00D4023B"/>
    <w:rsid w:val="00D4098A"/>
    <w:rsid w:val="00D554C1"/>
    <w:rsid w:val="00D603D6"/>
    <w:rsid w:val="00D63C43"/>
    <w:rsid w:val="00D7267F"/>
    <w:rsid w:val="00D750EE"/>
    <w:rsid w:val="00D81738"/>
    <w:rsid w:val="00D84631"/>
    <w:rsid w:val="00D86722"/>
    <w:rsid w:val="00D872A4"/>
    <w:rsid w:val="00D927B2"/>
    <w:rsid w:val="00DA6BD4"/>
    <w:rsid w:val="00DA7A66"/>
    <w:rsid w:val="00DC040D"/>
    <w:rsid w:val="00DC19DF"/>
    <w:rsid w:val="00DD65EC"/>
    <w:rsid w:val="00DE1C35"/>
    <w:rsid w:val="00DE66BB"/>
    <w:rsid w:val="00DE6B38"/>
    <w:rsid w:val="00DF1381"/>
    <w:rsid w:val="00DF1E82"/>
    <w:rsid w:val="00DF6958"/>
    <w:rsid w:val="00E27276"/>
    <w:rsid w:val="00E51931"/>
    <w:rsid w:val="00E55782"/>
    <w:rsid w:val="00E60D06"/>
    <w:rsid w:val="00E61905"/>
    <w:rsid w:val="00E71758"/>
    <w:rsid w:val="00E72090"/>
    <w:rsid w:val="00E75964"/>
    <w:rsid w:val="00E842E0"/>
    <w:rsid w:val="00E90CA9"/>
    <w:rsid w:val="00E95B40"/>
    <w:rsid w:val="00EA4475"/>
    <w:rsid w:val="00EB287E"/>
    <w:rsid w:val="00EB2B08"/>
    <w:rsid w:val="00EE2FF4"/>
    <w:rsid w:val="00EE3970"/>
    <w:rsid w:val="00F0042C"/>
    <w:rsid w:val="00F05064"/>
    <w:rsid w:val="00F06824"/>
    <w:rsid w:val="00F07AC2"/>
    <w:rsid w:val="00F1160C"/>
    <w:rsid w:val="00F131EE"/>
    <w:rsid w:val="00F17D95"/>
    <w:rsid w:val="00F233B2"/>
    <w:rsid w:val="00F32166"/>
    <w:rsid w:val="00F32F05"/>
    <w:rsid w:val="00F32FB8"/>
    <w:rsid w:val="00F349FB"/>
    <w:rsid w:val="00F37721"/>
    <w:rsid w:val="00F416C8"/>
    <w:rsid w:val="00F44901"/>
    <w:rsid w:val="00F46125"/>
    <w:rsid w:val="00F5262A"/>
    <w:rsid w:val="00F61FEE"/>
    <w:rsid w:val="00F6607C"/>
    <w:rsid w:val="00F90C04"/>
    <w:rsid w:val="00FB063E"/>
    <w:rsid w:val="00FB072F"/>
    <w:rsid w:val="00FB263E"/>
    <w:rsid w:val="00FB7ACB"/>
    <w:rsid w:val="00FC047E"/>
    <w:rsid w:val="00FD4734"/>
    <w:rsid w:val="00FD5C41"/>
    <w:rsid w:val="00FD782A"/>
    <w:rsid w:val="00FE70BB"/>
    <w:rsid w:val="00FF4D63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8240A1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color w:val="8DB3E2" w:themeColor="text2" w:themeTint="66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7200B4"/>
    <w:pPr>
      <w:spacing w:after="120"/>
    </w:pPr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5F695A"/>
    <w:rPr>
      <w:b/>
      <w:bCs/>
    </w:rPr>
  </w:style>
  <w:style w:type="paragraph" w:styleId="ListParagraph">
    <w:name w:val="List Paragraph"/>
    <w:basedOn w:val="Normal"/>
    <w:uiPriority w:val="34"/>
    <w:qFormat/>
    <w:rsid w:val="00FF5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8240A1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color w:val="8DB3E2" w:themeColor="text2" w:themeTint="66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7200B4"/>
    <w:pPr>
      <w:spacing w:after="120"/>
    </w:pPr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5F695A"/>
    <w:rPr>
      <w:b/>
      <w:bCs/>
    </w:rPr>
  </w:style>
  <w:style w:type="paragraph" w:styleId="ListParagraph">
    <w:name w:val="List Paragraph"/>
    <w:basedOn w:val="Normal"/>
    <w:uiPriority w:val="34"/>
    <w:qFormat/>
    <w:rsid w:val="00FF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1111111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BF3A6-47FB-4DB9-BC9C-96F833BB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4767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Alina Pietrzyk</cp:lastModifiedBy>
  <cp:revision>5</cp:revision>
  <cp:lastPrinted>2017-01-05T22:00:00Z</cp:lastPrinted>
  <dcterms:created xsi:type="dcterms:W3CDTF">2017-02-15T23:44:00Z</dcterms:created>
  <dcterms:modified xsi:type="dcterms:W3CDTF">2017-02-15T23:56:00Z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A600273</vt:lpwstr>
  </property>
  <property fmtid="{D5CDD505-2E9C-101B-9397-08002B2CF9AE}" pid="3" name="Objective-Title">
    <vt:lpwstr>Subject Renewal - Quality Curriculum KPIs</vt:lpwstr>
  </property>
  <property fmtid="{D5CDD505-2E9C-101B-9397-08002B2CF9AE}" pid="4" name="Objective-Comment">
    <vt:lpwstr/>
  </property>
  <property fmtid="{D5CDD505-2E9C-101B-9397-08002B2CF9AE}" pid="5" name="Objective-CreationStamp">
    <vt:filetime>2017-01-05T21:56:38Z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2017-01-05T22:00:12Z</vt:filetime>
  </property>
  <property fmtid="{D5CDD505-2E9C-101B-9397-08002B2CF9AE}" pid="9" name="Objective-ModificationStamp">
    <vt:filetime>2017-01-05T22:00:14Z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Folder:Curriculum:Subject renewal:Accreditation:a-Subject Renewal - Admin:</vt:lpwstr>
  </property>
  <property fmtid="{D5CDD505-2E9C-101B-9397-08002B2CF9AE}" pid="12" name="Objective-Parent">
    <vt:lpwstr>a-Subject Renewal - Admin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qA8532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