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994DDE">
      <w:pPr>
        <w:pStyle w:val="Heading1"/>
        <w:numPr>
          <w:ilvl w:val="0"/>
          <w:numId w:val="0"/>
        </w:numPr>
        <w:spacing w:before="0"/>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2B31F8" w:rsidRDefault="00FF5B14" w:rsidP="00111A42">
      <w:pPr>
        <w:pStyle w:val="Subtitle"/>
        <w:spacing w:before="240"/>
      </w:pPr>
      <w:r w:rsidRPr="002B31F8">
        <w:t xml:space="preserve">Stage </w:t>
      </w:r>
      <w:r w:rsidR="00470B25" w:rsidRPr="002B31F8">
        <w:t>2</w:t>
      </w:r>
      <w:r w:rsidRPr="002B31F8">
        <w:t xml:space="preserve"> </w:t>
      </w:r>
      <w:r w:rsidR="002B31F8" w:rsidRPr="002B31F8">
        <w:t>Accounting</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A03C43">
            <w:pPr>
              <w:pStyle w:val="LAPTableTextCentered"/>
            </w:pPr>
            <w:r w:rsidRPr="00A44DC9">
              <w:t xml:space="preserve">No. of </w:t>
            </w:r>
            <w:r w:rsidR="005D1617">
              <w:t>c</w:t>
            </w:r>
            <w:r w:rsidRPr="00A44DC9">
              <w:t>redits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111A42" w:rsidRPr="00F66744" w:rsidTr="00111A42">
        <w:trPr>
          <w:trHeight w:val="380"/>
        </w:trPr>
        <w:tc>
          <w:tcPr>
            <w:tcW w:w="614" w:type="dxa"/>
            <w:shd w:val="clear" w:color="auto" w:fill="auto"/>
            <w:vAlign w:val="center"/>
          </w:tcPr>
          <w:p w:rsidR="00153C12" w:rsidRPr="00A44DC9" w:rsidRDefault="00153C12" w:rsidP="00A44DC9">
            <w:pPr>
              <w:pStyle w:val="LAPTableText"/>
            </w:pPr>
          </w:p>
        </w:tc>
        <w:tc>
          <w:tcPr>
            <w:tcW w:w="614" w:type="dxa"/>
            <w:shd w:val="clear" w:color="auto" w:fill="auto"/>
            <w:vAlign w:val="center"/>
          </w:tcPr>
          <w:p w:rsidR="00153C12" w:rsidRPr="00A44DC9" w:rsidRDefault="00153C12" w:rsidP="00A44DC9">
            <w:pPr>
              <w:pStyle w:val="LAPTableText"/>
            </w:pPr>
          </w:p>
        </w:tc>
        <w:tc>
          <w:tcPr>
            <w:tcW w:w="615" w:type="dxa"/>
            <w:shd w:val="clear" w:color="auto" w:fill="auto"/>
            <w:vAlign w:val="center"/>
          </w:tcPr>
          <w:p w:rsidR="00153C12" w:rsidRPr="00A44DC9" w:rsidRDefault="00153C12" w:rsidP="00A44DC9">
            <w:pPr>
              <w:pStyle w:val="LAPTableText"/>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1276" w:type="dxa"/>
            <w:shd w:val="clear" w:color="auto" w:fill="auto"/>
            <w:vAlign w:val="center"/>
          </w:tcPr>
          <w:p w:rsidR="00153C12" w:rsidRPr="00A44DC9" w:rsidRDefault="00153C12" w:rsidP="00A44DC9">
            <w:pPr>
              <w:pStyle w:val="LAPTableText"/>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709" w:type="dxa"/>
            <w:shd w:val="clear" w:color="auto" w:fill="auto"/>
            <w:vAlign w:val="center"/>
          </w:tcPr>
          <w:p w:rsidR="00153C12" w:rsidRPr="00A03C43" w:rsidRDefault="00470B25" w:rsidP="00A44DC9">
            <w:pPr>
              <w:pStyle w:val="LAPTableText"/>
              <w:jc w:val="center"/>
              <w:rPr>
                <w:rFonts w:ascii="Roboto" w:hAnsi="Roboto"/>
                <w:b/>
                <w:sz w:val="20"/>
              </w:rPr>
            </w:pPr>
            <w:r w:rsidRPr="00A03C43">
              <w:rPr>
                <w:rFonts w:ascii="Roboto" w:hAnsi="Roboto"/>
                <w:b/>
                <w:sz w:val="20"/>
              </w:rPr>
              <w:t>2</w:t>
            </w:r>
          </w:p>
        </w:tc>
        <w:tc>
          <w:tcPr>
            <w:tcW w:w="661" w:type="dxa"/>
            <w:shd w:val="clear" w:color="auto" w:fill="auto"/>
            <w:vAlign w:val="center"/>
          </w:tcPr>
          <w:p w:rsidR="00153C12" w:rsidRPr="00A03C43" w:rsidRDefault="002B31F8" w:rsidP="00A44DC9">
            <w:pPr>
              <w:pStyle w:val="LAPTableText"/>
              <w:jc w:val="center"/>
              <w:rPr>
                <w:rFonts w:ascii="Roboto" w:hAnsi="Roboto"/>
                <w:b/>
                <w:sz w:val="20"/>
              </w:rPr>
            </w:pPr>
            <w:r w:rsidRPr="00A03C43">
              <w:rPr>
                <w:rFonts w:ascii="Roboto" w:hAnsi="Roboto"/>
                <w:b/>
                <w:sz w:val="20"/>
              </w:rPr>
              <w:t>X</w:t>
            </w:r>
          </w:p>
        </w:tc>
        <w:tc>
          <w:tcPr>
            <w:tcW w:w="662" w:type="dxa"/>
            <w:shd w:val="clear" w:color="auto" w:fill="auto"/>
            <w:vAlign w:val="center"/>
          </w:tcPr>
          <w:p w:rsidR="00153C12" w:rsidRPr="00A03C43" w:rsidRDefault="002B31F8" w:rsidP="00A44DC9">
            <w:pPr>
              <w:pStyle w:val="LAPTableText"/>
              <w:jc w:val="center"/>
              <w:rPr>
                <w:rFonts w:ascii="Roboto" w:hAnsi="Roboto"/>
                <w:b/>
                <w:sz w:val="20"/>
              </w:rPr>
            </w:pPr>
            <w:r w:rsidRPr="00A03C43">
              <w:rPr>
                <w:rFonts w:ascii="Roboto" w:hAnsi="Roboto"/>
                <w:b/>
                <w:sz w:val="20"/>
              </w:rPr>
              <w:t>X</w:t>
            </w:r>
          </w:p>
        </w:tc>
        <w:tc>
          <w:tcPr>
            <w:tcW w:w="662" w:type="dxa"/>
            <w:shd w:val="clear" w:color="auto" w:fill="auto"/>
            <w:vAlign w:val="center"/>
          </w:tcPr>
          <w:p w:rsidR="00153C12" w:rsidRPr="00A03C43" w:rsidRDefault="002B31F8" w:rsidP="00A44DC9">
            <w:pPr>
              <w:pStyle w:val="LAPTableText"/>
              <w:jc w:val="center"/>
              <w:rPr>
                <w:rFonts w:ascii="Roboto" w:hAnsi="Roboto"/>
                <w:b/>
                <w:sz w:val="20"/>
              </w:rPr>
            </w:pPr>
            <w:r w:rsidRPr="00A03C43">
              <w:rPr>
                <w:rFonts w:ascii="Roboto" w:hAnsi="Roboto"/>
                <w:b/>
                <w:sz w:val="20"/>
              </w:rPr>
              <w:t>X</w:t>
            </w:r>
          </w:p>
        </w:tc>
        <w:tc>
          <w:tcPr>
            <w:tcW w:w="1275" w:type="dxa"/>
            <w:shd w:val="clear" w:color="auto" w:fill="auto"/>
            <w:vAlign w:val="center"/>
          </w:tcPr>
          <w:p w:rsidR="00153C12" w:rsidRPr="00A03C43" w:rsidRDefault="00A03C43" w:rsidP="00A44DC9">
            <w:pPr>
              <w:pStyle w:val="LAPTableText"/>
              <w:jc w:val="center"/>
              <w:rPr>
                <w:rFonts w:ascii="Roboto" w:hAnsi="Roboto"/>
                <w:b/>
                <w:sz w:val="20"/>
              </w:rPr>
            </w:pPr>
            <w:r>
              <w:rPr>
                <w:rFonts w:ascii="Roboto" w:hAnsi="Roboto"/>
                <w:b/>
                <w:sz w:val="20"/>
              </w:rPr>
              <w:t>2</w:t>
            </w:r>
            <w:r w:rsidR="00153C12" w:rsidRPr="00A03C43">
              <w:rPr>
                <w:rFonts w:ascii="Roboto" w:hAnsi="Roboto"/>
                <w:b/>
                <w:sz w:val="20"/>
              </w:rPr>
              <w:t>0</w:t>
            </w:r>
          </w:p>
        </w:tc>
        <w:tc>
          <w:tcPr>
            <w:tcW w:w="426" w:type="dxa"/>
            <w:vMerge/>
            <w:tcBorders>
              <w:bottom w:val="nil"/>
            </w:tcBorders>
            <w:shd w:val="clear" w:color="auto" w:fill="auto"/>
            <w:vAlign w:val="center"/>
          </w:tcPr>
          <w:p w:rsidR="00153C12" w:rsidRPr="00A44DC9" w:rsidRDefault="00153C12" w:rsidP="00A44DC9">
            <w:pPr>
              <w:pStyle w:val="LAPTableText"/>
            </w:pPr>
          </w:p>
        </w:tc>
        <w:tc>
          <w:tcPr>
            <w:tcW w:w="1134" w:type="dxa"/>
            <w:shd w:val="clear" w:color="auto" w:fill="auto"/>
            <w:vAlign w:val="center"/>
          </w:tcPr>
          <w:p w:rsidR="00153C12" w:rsidRPr="00A44DC9" w:rsidRDefault="00153C12"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A03C43">
        <w:trPr>
          <w:trHeight w:val="4716"/>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CC7338" w:rsidRDefault="00153C12" w:rsidP="00111A42">
            <w:pPr>
              <w:pStyle w:val="AddendumTableText"/>
              <w:spacing w:after="0"/>
            </w:pPr>
            <w:r w:rsidRPr="00745A0E">
              <w:t>Signature of principal or delegate</w:t>
            </w:r>
          </w:p>
          <w:p w:rsidR="00CC7338" w:rsidRPr="00CC7338" w:rsidRDefault="00CC7338" w:rsidP="00CC7338"/>
          <w:p w:rsidR="00CC7338" w:rsidRPr="00CC7338" w:rsidRDefault="00CC7338" w:rsidP="00CC7338"/>
          <w:p w:rsidR="00CC7338" w:rsidRPr="00CC7338" w:rsidRDefault="00CC7338" w:rsidP="00CC7338"/>
          <w:p w:rsidR="00CC7338" w:rsidRDefault="00CC7338" w:rsidP="00CC7338"/>
          <w:p w:rsidR="00153C12" w:rsidRPr="00CC7338" w:rsidRDefault="00153C12" w:rsidP="00CC7338"/>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rsidR="00483E68" w:rsidRPr="002B31F8" w:rsidRDefault="00470B25" w:rsidP="00103D79">
      <w:pPr>
        <w:pStyle w:val="Subtitle"/>
        <w:rPr>
          <w:rFonts w:eastAsia="SimSun"/>
          <w:lang w:val="en-US"/>
        </w:rPr>
      </w:pPr>
      <w:r w:rsidRPr="002B31F8">
        <w:rPr>
          <w:rFonts w:eastAsia="SimSun"/>
        </w:rPr>
        <w:lastRenderedPageBreak/>
        <w:t xml:space="preserve">Stage 2 </w:t>
      </w:r>
      <w:r w:rsidR="002B31F8" w:rsidRPr="002B31F8">
        <w:rPr>
          <w:rFonts w:eastAsia="SimSun"/>
        </w:rPr>
        <w:t>Accounting</w:t>
      </w:r>
    </w:p>
    <w:p w:rsidR="00483E68" w:rsidRPr="00483E68" w:rsidRDefault="00483E68" w:rsidP="00994DDE">
      <w:pPr>
        <w:pStyle w:val="Heading1"/>
        <w:numPr>
          <w:ilvl w:val="0"/>
          <w:numId w:val="0"/>
        </w:numPr>
        <w:spacing w:after="240"/>
        <w:rPr>
          <w:rFonts w:eastAsia="SimSun"/>
          <w:lang w:val="en-US"/>
        </w:rPr>
      </w:pPr>
      <w:r w:rsidRPr="00483E68">
        <w:rPr>
          <w:rFonts w:eastAsia="SimSun"/>
          <w:lang w:val="en-US"/>
        </w:rPr>
        <w:t xml:space="preserve">Assessment </w:t>
      </w:r>
      <w:r w:rsidR="005D1617">
        <w:rPr>
          <w:rFonts w:eastAsia="SimSun"/>
          <w:lang w:val="en-US"/>
        </w:rPr>
        <w:t>o</w:t>
      </w:r>
      <w:r w:rsidRPr="00483E68">
        <w:rPr>
          <w:rFonts w:eastAsia="SimSun"/>
          <w:lang w:val="en-US"/>
        </w:rPr>
        <w:t>verview</w:t>
      </w:r>
    </w:p>
    <w:p w:rsidR="004C0E19" w:rsidRDefault="00153C12" w:rsidP="002D50D4">
      <w:pPr>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745A0E" w:rsidRDefault="00AD3260" w:rsidP="002D50D4">
      <w:pPr>
        <w:spacing w:before="120"/>
        <w:rPr>
          <w:lang w:val="en-US"/>
        </w:rPr>
      </w:pPr>
      <w:r w:rsidRPr="00AD3260">
        <w:rPr>
          <w:rFonts w:ascii="Roboto Medium" w:hAnsi="Roboto Medium"/>
        </w:rPr>
        <w:t>Assessment Type 1:</w:t>
      </w:r>
      <w:r w:rsidRPr="00153C12">
        <w:rPr>
          <w:i/>
        </w:rPr>
        <w:t xml:space="preserve"> </w:t>
      </w:r>
      <w:r w:rsidR="002B31F8" w:rsidRPr="002B31F8">
        <w:rPr>
          <w:b/>
        </w:rPr>
        <w:t>Accounting Concepts and Solutions (40)%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03"/>
        <w:gridCol w:w="898"/>
        <w:gridCol w:w="3283"/>
      </w:tblGrid>
      <w:tr w:rsidR="00111A42" w:rsidRPr="00153C12" w:rsidTr="002D50D4">
        <w:trPr>
          <w:trHeight w:val="397"/>
        </w:trPr>
        <w:tc>
          <w:tcPr>
            <w:tcW w:w="4513" w:type="dxa"/>
            <w:vMerge w:val="restart"/>
            <w:shd w:val="clear" w:color="auto" w:fill="D9D9D9" w:themeFill="background1" w:themeFillShade="D9"/>
            <w:vAlign w:val="center"/>
          </w:tcPr>
          <w:p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283" w:type="dxa"/>
            <w:vMerge w:val="restart"/>
            <w:shd w:val="clear" w:color="auto" w:fill="D9D9D9" w:themeFill="background1" w:themeFillShade="D9"/>
            <w:vAlign w:val="center"/>
          </w:tcPr>
          <w:p w:rsidR="00111A42" w:rsidRPr="00103D79" w:rsidRDefault="00111A42" w:rsidP="00DE3C5C">
            <w:pPr>
              <w:pStyle w:val="SOTableHeadings"/>
            </w:pPr>
            <w:r w:rsidRPr="00103D79">
              <w:t xml:space="preserve">Assessment conditions </w:t>
            </w:r>
          </w:p>
          <w:p w:rsidR="00111A42" w:rsidRPr="00153C12" w:rsidRDefault="00111A42" w:rsidP="00DE3C5C">
            <w:pPr>
              <w:pStyle w:val="SOTableText"/>
            </w:pPr>
            <w:r w:rsidRPr="00103D79">
              <w:t>(e.g. task type, word length, time allocated, supervision)</w:t>
            </w:r>
          </w:p>
        </w:tc>
      </w:tr>
      <w:tr w:rsidR="00111A42" w:rsidRPr="00153C12" w:rsidTr="002D50D4">
        <w:trPr>
          <w:trHeight w:val="397"/>
        </w:trPr>
        <w:tc>
          <w:tcPr>
            <w:tcW w:w="4513" w:type="dxa"/>
            <w:vMerge/>
            <w:shd w:val="clear" w:color="auto" w:fill="D9D9D9" w:themeFill="background1" w:themeFillShade="D9"/>
            <w:vAlign w:val="center"/>
          </w:tcPr>
          <w:p w:rsidR="00111A42" w:rsidRPr="00153C12" w:rsidRDefault="00111A42" w:rsidP="00103D79">
            <w:pPr>
              <w:pStyle w:val="SOTableText"/>
              <w:rPr>
                <w:i/>
              </w:rPr>
            </w:pPr>
          </w:p>
        </w:tc>
        <w:tc>
          <w:tcPr>
            <w:tcW w:w="709" w:type="dxa"/>
            <w:shd w:val="clear" w:color="auto" w:fill="D9D9D9" w:themeFill="background1" w:themeFillShade="D9"/>
            <w:vAlign w:val="center"/>
          </w:tcPr>
          <w:p w:rsidR="00111A42" w:rsidRPr="00103D79" w:rsidRDefault="002B31F8" w:rsidP="008969E4">
            <w:pPr>
              <w:pStyle w:val="SOTableHeadings"/>
              <w:jc w:val="center"/>
            </w:pPr>
            <w:r>
              <w:t>UE</w:t>
            </w:r>
          </w:p>
        </w:tc>
        <w:tc>
          <w:tcPr>
            <w:tcW w:w="803" w:type="dxa"/>
            <w:shd w:val="clear" w:color="auto" w:fill="D9D9D9" w:themeFill="background1" w:themeFillShade="D9"/>
            <w:vAlign w:val="center"/>
          </w:tcPr>
          <w:p w:rsidR="00111A42" w:rsidRPr="00103D79" w:rsidRDefault="002B31F8" w:rsidP="008969E4">
            <w:pPr>
              <w:pStyle w:val="SOTableHeadings"/>
              <w:jc w:val="center"/>
            </w:pPr>
            <w:r>
              <w:t>A</w:t>
            </w:r>
            <w:r w:rsidR="00A473CC">
              <w:t>p</w:t>
            </w:r>
          </w:p>
        </w:tc>
        <w:tc>
          <w:tcPr>
            <w:tcW w:w="898" w:type="dxa"/>
            <w:shd w:val="clear" w:color="auto" w:fill="D9D9D9" w:themeFill="background1" w:themeFillShade="D9"/>
            <w:vAlign w:val="center"/>
          </w:tcPr>
          <w:p w:rsidR="00111A42" w:rsidRPr="00103D79" w:rsidRDefault="002B31F8" w:rsidP="008969E4">
            <w:pPr>
              <w:pStyle w:val="SOTableHeadings"/>
              <w:jc w:val="center"/>
            </w:pPr>
            <w:r>
              <w:t>AE</w:t>
            </w:r>
          </w:p>
        </w:tc>
        <w:tc>
          <w:tcPr>
            <w:tcW w:w="3283" w:type="dxa"/>
            <w:vMerge/>
            <w:shd w:val="clear" w:color="auto" w:fill="auto"/>
            <w:vAlign w:val="center"/>
          </w:tcPr>
          <w:p w:rsidR="00111A42" w:rsidRPr="00153C12" w:rsidRDefault="00111A42" w:rsidP="00103D79">
            <w:pPr>
              <w:pStyle w:val="SOTableText"/>
            </w:pPr>
          </w:p>
        </w:tc>
      </w:tr>
      <w:tr w:rsidR="00A473CC" w:rsidRPr="00153C12" w:rsidTr="00A86656">
        <w:trPr>
          <w:trHeight w:val="828"/>
        </w:trPr>
        <w:tc>
          <w:tcPr>
            <w:tcW w:w="4513" w:type="dxa"/>
            <w:shd w:val="clear" w:color="auto" w:fill="auto"/>
            <w:vAlign w:val="center"/>
          </w:tcPr>
          <w:p w:rsidR="00AD4581" w:rsidRDefault="00395EED" w:rsidP="00AD4581">
            <w:pPr>
              <w:pStyle w:val="SOTableText"/>
            </w:pPr>
            <w:r>
              <w:t>Key context</w:t>
            </w:r>
            <w:r w:rsidR="00AD4581">
              <w:t>:</w:t>
            </w:r>
            <w:r w:rsidR="00994DDE">
              <w:t xml:space="preserve"> </w:t>
            </w:r>
            <w:r>
              <w:t>Understanding Accounting Concepts and Conventions</w:t>
            </w:r>
          </w:p>
          <w:p w:rsidR="00A473CC" w:rsidRDefault="00395EED" w:rsidP="00AD4581">
            <w:pPr>
              <w:pStyle w:val="SOTableText"/>
            </w:pPr>
            <w:r>
              <w:t>Learning strand</w:t>
            </w:r>
            <w:r w:rsidR="00AD4581">
              <w:t>s:</w:t>
            </w:r>
            <w:r>
              <w:t xml:space="preserve"> Financial Literac</w:t>
            </w:r>
            <w:r w:rsidR="00052178">
              <w:t>y, Stakeholder Information and D</w:t>
            </w:r>
            <w:r>
              <w:t>ecision-making, Innovation</w:t>
            </w:r>
          </w:p>
          <w:p w:rsidR="00AB4CB8" w:rsidRDefault="00AB4CB8" w:rsidP="00AA2A89">
            <w:pPr>
              <w:pStyle w:val="SOTableText"/>
            </w:pPr>
          </w:p>
          <w:p w:rsidR="00A86656" w:rsidRPr="002B31F8" w:rsidRDefault="00A86656" w:rsidP="00052178">
            <w:pPr>
              <w:pStyle w:val="SOTableText"/>
              <w:rPr>
                <w:szCs w:val="18"/>
              </w:rPr>
            </w:pPr>
            <w:r>
              <w:t xml:space="preserve">Students interview </w:t>
            </w:r>
            <w:r w:rsidR="00AA2A89">
              <w:t>a local business owner</w:t>
            </w:r>
            <w:r>
              <w:t xml:space="preserve"> about the key accounting information used </w:t>
            </w:r>
            <w:r w:rsidR="00AA2A89">
              <w:t>for decision-making. Students e</w:t>
            </w:r>
            <w:r w:rsidR="00052178">
              <w:t>xplore</w:t>
            </w:r>
            <w:r w:rsidR="00AA2A89">
              <w:t xml:space="preserve"> how and why the business uses</w:t>
            </w:r>
            <w:r w:rsidR="00052178">
              <w:t xml:space="preserve"> this information. They investigate</w:t>
            </w:r>
            <w:r w:rsidR="00AA2A89">
              <w:t xml:space="preserve"> the use and role of digital and emerging technologies in how the information is recorded, produced and communicated.</w:t>
            </w:r>
          </w:p>
        </w:tc>
        <w:tc>
          <w:tcPr>
            <w:tcW w:w="709" w:type="dxa"/>
            <w:shd w:val="clear" w:color="auto" w:fill="auto"/>
            <w:vAlign w:val="center"/>
          </w:tcPr>
          <w:p w:rsidR="00A473CC" w:rsidRPr="002B31F8" w:rsidRDefault="00395EED" w:rsidP="00137DDA">
            <w:pPr>
              <w:pStyle w:val="SOTableText"/>
              <w:jc w:val="center"/>
            </w:pPr>
            <w:r>
              <w:t>1, 2</w:t>
            </w:r>
          </w:p>
        </w:tc>
        <w:tc>
          <w:tcPr>
            <w:tcW w:w="803" w:type="dxa"/>
            <w:shd w:val="clear" w:color="auto" w:fill="auto"/>
            <w:vAlign w:val="center"/>
          </w:tcPr>
          <w:p w:rsidR="00A473CC" w:rsidRPr="002B31F8" w:rsidRDefault="00395EED" w:rsidP="00137DDA">
            <w:pPr>
              <w:pStyle w:val="SOTableText"/>
              <w:jc w:val="center"/>
            </w:pPr>
            <w:r>
              <w:t>2, 3</w:t>
            </w:r>
          </w:p>
        </w:tc>
        <w:tc>
          <w:tcPr>
            <w:tcW w:w="898" w:type="dxa"/>
            <w:shd w:val="clear" w:color="auto" w:fill="auto"/>
            <w:vAlign w:val="center"/>
          </w:tcPr>
          <w:p w:rsidR="00A473CC" w:rsidRPr="002B31F8" w:rsidRDefault="00A473CC" w:rsidP="00137DDA">
            <w:pPr>
              <w:pStyle w:val="SOTableText"/>
              <w:jc w:val="center"/>
            </w:pPr>
          </w:p>
        </w:tc>
        <w:tc>
          <w:tcPr>
            <w:tcW w:w="3283" w:type="dxa"/>
            <w:shd w:val="clear" w:color="auto" w:fill="auto"/>
          </w:tcPr>
          <w:p w:rsidR="00395EED" w:rsidRPr="00052178" w:rsidRDefault="00395EED" w:rsidP="00A86656">
            <w:pPr>
              <w:pStyle w:val="SOTableText"/>
            </w:pPr>
            <w:r w:rsidRPr="00052178">
              <w:t xml:space="preserve">Students </w:t>
            </w:r>
            <w:r w:rsidR="00052178" w:rsidRPr="00052178">
              <w:t>present their findings as</w:t>
            </w:r>
            <w:r w:rsidRPr="00052178">
              <w:t xml:space="preserve"> an infographic </w:t>
            </w:r>
            <w:r w:rsidR="00052178" w:rsidRPr="00052178">
              <w:t xml:space="preserve">to </w:t>
            </w:r>
            <w:r w:rsidRPr="00052178">
              <w:t>a maximum of 400 words</w:t>
            </w:r>
            <w:r w:rsidR="00052178" w:rsidRPr="00052178">
              <w:t xml:space="preserve">. Students </w:t>
            </w:r>
            <w:r w:rsidRPr="00052178">
              <w:t>present th</w:t>
            </w:r>
            <w:r w:rsidR="00052178" w:rsidRPr="00052178">
              <w:t>e infographic</w:t>
            </w:r>
            <w:r w:rsidRPr="00052178">
              <w:t xml:space="preserve"> to the class in a </w:t>
            </w:r>
            <w:r w:rsidR="00052178" w:rsidRPr="00052178">
              <w:t xml:space="preserve">presentation to a maximum of </w:t>
            </w:r>
            <w:r w:rsidRPr="00052178">
              <w:t>3 minute</w:t>
            </w:r>
            <w:r w:rsidR="00052178" w:rsidRPr="00052178">
              <w:t>s.</w:t>
            </w:r>
          </w:p>
          <w:p w:rsidR="00395EED" w:rsidRDefault="00395EED" w:rsidP="00A86656">
            <w:pPr>
              <w:pStyle w:val="SOTableText"/>
            </w:pPr>
            <w:r w:rsidRPr="00052178">
              <w:t>(</w:t>
            </w:r>
            <w:r w:rsidR="00052178" w:rsidRPr="00052178">
              <w:t>M</w:t>
            </w:r>
            <w:r w:rsidR="00AB4CB8" w:rsidRPr="00052178">
              <w:t>ultimodal presentation to equivalent of 900 words)</w:t>
            </w:r>
          </w:p>
          <w:p w:rsidR="00395EED" w:rsidRDefault="00395EED" w:rsidP="00A86656">
            <w:pPr>
              <w:pStyle w:val="SOTableText"/>
            </w:pPr>
          </w:p>
          <w:p w:rsidR="00395EED" w:rsidRPr="002B31F8" w:rsidRDefault="00395EED" w:rsidP="00052178">
            <w:pPr>
              <w:pStyle w:val="SOTableText"/>
            </w:pPr>
          </w:p>
        </w:tc>
      </w:tr>
      <w:tr w:rsidR="00AA2A89" w:rsidRPr="00153C12" w:rsidTr="0099514A">
        <w:trPr>
          <w:trHeight w:val="828"/>
        </w:trPr>
        <w:tc>
          <w:tcPr>
            <w:tcW w:w="4513" w:type="dxa"/>
            <w:shd w:val="clear" w:color="auto" w:fill="auto"/>
            <w:vAlign w:val="center"/>
          </w:tcPr>
          <w:p w:rsidR="00AB4CB8" w:rsidRPr="00052178" w:rsidRDefault="00AB4CB8" w:rsidP="00AB4CB8">
            <w:pPr>
              <w:pStyle w:val="SOTableText"/>
            </w:pPr>
            <w:r w:rsidRPr="00052178">
              <w:t>Key contexts: Understanding Accounting Concepts and Conventions; Managing Financial Sustainability</w:t>
            </w:r>
          </w:p>
          <w:p w:rsidR="00AB4CB8" w:rsidRDefault="00AB4CB8" w:rsidP="00AB4CB8">
            <w:pPr>
              <w:pStyle w:val="SOTableText"/>
            </w:pPr>
            <w:r w:rsidRPr="00052178">
              <w:t xml:space="preserve">Learning strands: Financial Literacy, </w:t>
            </w:r>
            <w:r w:rsidR="00052178" w:rsidRPr="00052178">
              <w:t>Stakeholder Information and D</w:t>
            </w:r>
            <w:r w:rsidRPr="00052178">
              <w:t>ecision-making, Innovation</w:t>
            </w:r>
          </w:p>
          <w:p w:rsidR="00AA2A89" w:rsidRDefault="00AA2A89" w:rsidP="0099514A">
            <w:pPr>
              <w:pStyle w:val="SOTableText"/>
            </w:pPr>
          </w:p>
          <w:p w:rsidR="00AA2A89" w:rsidRPr="002B31F8" w:rsidRDefault="00AB4CB8" w:rsidP="00052178">
            <w:pPr>
              <w:pStyle w:val="SOTableText"/>
              <w:rPr>
                <w:szCs w:val="18"/>
              </w:rPr>
            </w:pPr>
            <w:r>
              <w:rPr>
                <w:szCs w:val="18"/>
              </w:rPr>
              <w:t>Using unseen data from a start-up business and under supervised conditions, students complete a balance sheet</w:t>
            </w:r>
            <w:r w:rsidR="00B45F4B">
              <w:rPr>
                <w:szCs w:val="18"/>
              </w:rPr>
              <w:t>, statement of changes in equity</w:t>
            </w:r>
            <w:r>
              <w:rPr>
                <w:szCs w:val="18"/>
              </w:rPr>
              <w:t xml:space="preserve"> and income statement</w:t>
            </w:r>
            <w:r w:rsidR="00052178">
              <w:rPr>
                <w:szCs w:val="18"/>
              </w:rPr>
              <w:t>. They explain to the business owner how accounting concepts and conventions were applied in the preparation of the accounting information.</w:t>
            </w:r>
          </w:p>
        </w:tc>
        <w:tc>
          <w:tcPr>
            <w:tcW w:w="709" w:type="dxa"/>
            <w:shd w:val="clear" w:color="auto" w:fill="auto"/>
            <w:vAlign w:val="center"/>
          </w:tcPr>
          <w:p w:rsidR="00AA2A89" w:rsidRPr="002B31F8" w:rsidRDefault="00982923" w:rsidP="0099514A">
            <w:pPr>
              <w:pStyle w:val="SOTableText"/>
              <w:jc w:val="center"/>
            </w:pPr>
            <w:r>
              <w:t>1</w:t>
            </w:r>
          </w:p>
        </w:tc>
        <w:tc>
          <w:tcPr>
            <w:tcW w:w="803" w:type="dxa"/>
            <w:shd w:val="clear" w:color="auto" w:fill="auto"/>
            <w:vAlign w:val="center"/>
          </w:tcPr>
          <w:p w:rsidR="00AA2A89" w:rsidRPr="002B31F8" w:rsidRDefault="00982923" w:rsidP="0099514A">
            <w:pPr>
              <w:pStyle w:val="SOTableText"/>
              <w:jc w:val="center"/>
            </w:pPr>
            <w:r>
              <w:t>1, 2</w:t>
            </w:r>
          </w:p>
        </w:tc>
        <w:tc>
          <w:tcPr>
            <w:tcW w:w="898" w:type="dxa"/>
            <w:shd w:val="clear" w:color="auto" w:fill="auto"/>
            <w:vAlign w:val="center"/>
          </w:tcPr>
          <w:p w:rsidR="00AA2A89" w:rsidRPr="002B31F8" w:rsidRDefault="00982923" w:rsidP="0099514A">
            <w:pPr>
              <w:pStyle w:val="SOTableText"/>
              <w:jc w:val="center"/>
            </w:pPr>
            <w:r w:rsidRPr="00052178">
              <w:t>1</w:t>
            </w:r>
          </w:p>
        </w:tc>
        <w:tc>
          <w:tcPr>
            <w:tcW w:w="3283" w:type="dxa"/>
            <w:shd w:val="clear" w:color="auto" w:fill="auto"/>
          </w:tcPr>
          <w:p w:rsidR="00052178" w:rsidRDefault="00052178" w:rsidP="00982923">
            <w:pPr>
              <w:pStyle w:val="SOTableText"/>
            </w:pPr>
            <w:r>
              <w:t>Written f</w:t>
            </w:r>
            <w:r w:rsidRPr="00052178">
              <w:t>inancial statements and</w:t>
            </w:r>
            <w:r w:rsidR="00982923" w:rsidRPr="00052178">
              <w:t xml:space="preserve"> </w:t>
            </w:r>
            <w:r w:rsidRPr="00052178">
              <w:t>explanation to a maximum of 1000</w:t>
            </w:r>
            <w:r>
              <w:t xml:space="preserve"> words.</w:t>
            </w:r>
          </w:p>
          <w:p w:rsidR="00052178" w:rsidRPr="00052178" w:rsidRDefault="00052178" w:rsidP="00052178">
            <w:pPr>
              <w:pStyle w:val="SOTableText"/>
              <w:numPr>
                <w:ilvl w:val="0"/>
                <w:numId w:val="9"/>
              </w:numPr>
              <w:ind w:left="340" w:hanging="283"/>
            </w:pPr>
            <w:r w:rsidRPr="00052178">
              <w:t>F</w:t>
            </w:r>
            <w:r w:rsidR="00982923" w:rsidRPr="00052178">
              <w:t xml:space="preserve">inancial </w:t>
            </w:r>
            <w:r w:rsidRPr="00052178">
              <w:t>statements: 400 words approx.</w:t>
            </w:r>
          </w:p>
          <w:p w:rsidR="00982923" w:rsidRPr="00052178" w:rsidRDefault="00052178" w:rsidP="00052178">
            <w:pPr>
              <w:pStyle w:val="SOTableText"/>
              <w:numPr>
                <w:ilvl w:val="0"/>
                <w:numId w:val="9"/>
              </w:numPr>
              <w:ind w:left="340" w:hanging="283"/>
            </w:pPr>
            <w:r w:rsidRPr="00052178">
              <w:t>E</w:t>
            </w:r>
            <w:r w:rsidR="00982923" w:rsidRPr="00052178">
              <w:t>xplanation 600 words approx.</w:t>
            </w:r>
          </w:p>
          <w:p w:rsidR="00982923" w:rsidRDefault="00982923" w:rsidP="00982923">
            <w:pPr>
              <w:pStyle w:val="SOTableText"/>
            </w:pPr>
          </w:p>
          <w:p w:rsidR="00982923" w:rsidRPr="002B31F8" w:rsidRDefault="00982923" w:rsidP="00982923">
            <w:pPr>
              <w:pStyle w:val="SOTableText"/>
            </w:pPr>
            <w:r>
              <w:t>Completed in class, under supervision across 2 lessons.</w:t>
            </w:r>
          </w:p>
        </w:tc>
      </w:tr>
      <w:tr w:rsidR="00A473CC" w:rsidRPr="00153C12" w:rsidTr="00A86656">
        <w:trPr>
          <w:trHeight w:val="828"/>
        </w:trPr>
        <w:tc>
          <w:tcPr>
            <w:tcW w:w="4513" w:type="dxa"/>
            <w:shd w:val="clear" w:color="auto" w:fill="auto"/>
            <w:vAlign w:val="center"/>
          </w:tcPr>
          <w:p w:rsidR="00AD4581" w:rsidRDefault="00982923" w:rsidP="00AD4581">
            <w:pPr>
              <w:pStyle w:val="SOTableText"/>
            </w:pPr>
            <w:r>
              <w:t>Key context</w:t>
            </w:r>
            <w:r w:rsidR="00AD4581">
              <w:t>:</w:t>
            </w:r>
            <w:r>
              <w:t xml:space="preserve"> Managing Financial Sustainability</w:t>
            </w:r>
          </w:p>
          <w:p w:rsidR="00982923" w:rsidRDefault="00982923" w:rsidP="00982923">
            <w:pPr>
              <w:pStyle w:val="SOTableText"/>
            </w:pPr>
            <w:r>
              <w:t xml:space="preserve">Learning strands: Financial Literacy, </w:t>
            </w:r>
            <w:r w:rsidRPr="00982923">
              <w:t xml:space="preserve">Stakeholder Information and </w:t>
            </w:r>
            <w:r w:rsidR="00052178">
              <w:t>D</w:t>
            </w:r>
            <w:r w:rsidRPr="00982923">
              <w:t>ecision-making, Innovation</w:t>
            </w:r>
            <w:r>
              <w:t>.</w:t>
            </w:r>
          </w:p>
          <w:p w:rsidR="00A86656" w:rsidRPr="00982923" w:rsidRDefault="00982923" w:rsidP="00AD4581">
            <w:pPr>
              <w:pStyle w:val="SOTableText"/>
              <w:rPr>
                <w:szCs w:val="18"/>
                <w:u w:val="single"/>
              </w:rPr>
            </w:pPr>
            <w:r w:rsidRPr="00982923">
              <w:rPr>
                <w:szCs w:val="18"/>
                <w:u w:val="single"/>
              </w:rPr>
              <w:t>Part 1</w:t>
            </w:r>
            <w:r>
              <w:rPr>
                <w:szCs w:val="18"/>
                <w:u w:val="single"/>
              </w:rPr>
              <w:t xml:space="preserve"> – Cashflow statement preparation</w:t>
            </w:r>
          </w:p>
          <w:p w:rsidR="00982923" w:rsidRDefault="00982923" w:rsidP="00AD4581">
            <w:pPr>
              <w:pStyle w:val="SOTableText"/>
              <w:rPr>
                <w:szCs w:val="18"/>
              </w:rPr>
            </w:pPr>
            <w:r>
              <w:rPr>
                <w:szCs w:val="18"/>
              </w:rPr>
              <w:t>Using unseen data, students complete a cashflow statement under supervised conditions.</w:t>
            </w:r>
          </w:p>
          <w:p w:rsidR="00982923" w:rsidRDefault="00982923" w:rsidP="00AD4581">
            <w:pPr>
              <w:pStyle w:val="SOTableText"/>
              <w:rPr>
                <w:szCs w:val="18"/>
              </w:rPr>
            </w:pPr>
          </w:p>
          <w:p w:rsidR="00982923" w:rsidRPr="00982923" w:rsidRDefault="00982923" w:rsidP="00AD4581">
            <w:pPr>
              <w:pStyle w:val="SOTableText"/>
              <w:rPr>
                <w:szCs w:val="18"/>
                <w:u w:val="single"/>
              </w:rPr>
            </w:pPr>
            <w:r w:rsidRPr="00982923">
              <w:rPr>
                <w:szCs w:val="18"/>
                <w:u w:val="single"/>
              </w:rPr>
              <w:t>Part 2</w:t>
            </w:r>
            <w:r>
              <w:rPr>
                <w:szCs w:val="18"/>
                <w:u w:val="single"/>
              </w:rPr>
              <w:t xml:space="preserve"> – Cashflow statement </w:t>
            </w:r>
            <w:r w:rsidR="00052178">
              <w:rPr>
                <w:szCs w:val="18"/>
                <w:u w:val="single"/>
              </w:rPr>
              <w:t>analysis</w:t>
            </w:r>
            <w:r>
              <w:rPr>
                <w:szCs w:val="18"/>
                <w:u w:val="single"/>
              </w:rPr>
              <w:t xml:space="preserve"> (interview)</w:t>
            </w:r>
          </w:p>
          <w:p w:rsidR="00982923" w:rsidRPr="002B31F8" w:rsidRDefault="00982923" w:rsidP="00AD4581">
            <w:pPr>
              <w:pStyle w:val="SOTableText"/>
              <w:rPr>
                <w:szCs w:val="18"/>
              </w:rPr>
            </w:pPr>
            <w:r>
              <w:rPr>
                <w:szCs w:val="18"/>
              </w:rPr>
              <w:t>Students respond to a selection of previously seen questions</w:t>
            </w:r>
            <w:r w:rsidR="00835D6A">
              <w:rPr>
                <w:szCs w:val="18"/>
              </w:rPr>
              <w:t xml:space="preserve"> to explain </w:t>
            </w:r>
            <w:r w:rsidR="00052178">
              <w:rPr>
                <w:szCs w:val="18"/>
              </w:rPr>
              <w:t xml:space="preserve">their analysis of </w:t>
            </w:r>
            <w:r w:rsidR="00835D6A">
              <w:rPr>
                <w:szCs w:val="18"/>
              </w:rPr>
              <w:t>the cashflow statement in an interview with the teacher.</w:t>
            </w:r>
            <w:r>
              <w:rPr>
                <w:szCs w:val="18"/>
              </w:rPr>
              <w:t xml:space="preserve"> </w:t>
            </w:r>
          </w:p>
        </w:tc>
        <w:tc>
          <w:tcPr>
            <w:tcW w:w="709" w:type="dxa"/>
            <w:shd w:val="clear" w:color="auto" w:fill="auto"/>
            <w:vAlign w:val="center"/>
          </w:tcPr>
          <w:p w:rsidR="00A473CC" w:rsidRPr="002B31F8" w:rsidRDefault="00835D6A" w:rsidP="00137DDA">
            <w:pPr>
              <w:pStyle w:val="SOTableText"/>
              <w:jc w:val="center"/>
            </w:pPr>
            <w:r>
              <w:t>2</w:t>
            </w:r>
          </w:p>
        </w:tc>
        <w:tc>
          <w:tcPr>
            <w:tcW w:w="803" w:type="dxa"/>
            <w:shd w:val="clear" w:color="auto" w:fill="auto"/>
            <w:vAlign w:val="center"/>
          </w:tcPr>
          <w:p w:rsidR="00A473CC" w:rsidRPr="002B31F8" w:rsidRDefault="00835D6A" w:rsidP="00137DDA">
            <w:pPr>
              <w:pStyle w:val="SOTableText"/>
              <w:jc w:val="center"/>
            </w:pPr>
            <w:r>
              <w:t>1, 2</w:t>
            </w:r>
          </w:p>
        </w:tc>
        <w:tc>
          <w:tcPr>
            <w:tcW w:w="898" w:type="dxa"/>
            <w:shd w:val="clear" w:color="auto" w:fill="auto"/>
            <w:vAlign w:val="center"/>
          </w:tcPr>
          <w:p w:rsidR="00A473CC" w:rsidRPr="002B31F8" w:rsidRDefault="00835D6A" w:rsidP="00137DDA">
            <w:pPr>
              <w:pStyle w:val="SOTableText"/>
              <w:jc w:val="center"/>
            </w:pPr>
            <w:r>
              <w:t>1</w:t>
            </w:r>
          </w:p>
        </w:tc>
        <w:tc>
          <w:tcPr>
            <w:tcW w:w="3283" w:type="dxa"/>
            <w:shd w:val="clear" w:color="auto" w:fill="auto"/>
          </w:tcPr>
          <w:p w:rsidR="00A473CC" w:rsidRDefault="00835D6A" w:rsidP="00A86656">
            <w:pPr>
              <w:pStyle w:val="SOTableText"/>
            </w:pPr>
            <w:r w:rsidRPr="00835D6A">
              <w:rPr>
                <w:u w:val="single"/>
              </w:rPr>
              <w:t>Part 1</w:t>
            </w:r>
            <w:r>
              <w:t>: Cashflow statement prepared under supervised conditions. 30 minutes, 250 words maximum.</w:t>
            </w:r>
          </w:p>
          <w:p w:rsidR="00835D6A" w:rsidRDefault="00835D6A" w:rsidP="00A86656">
            <w:pPr>
              <w:pStyle w:val="SOTableText"/>
            </w:pPr>
          </w:p>
          <w:p w:rsidR="00835D6A" w:rsidRDefault="00835D6A" w:rsidP="00835D6A">
            <w:pPr>
              <w:pStyle w:val="SOTableText"/>
            </w:pPr>
            <w:r w:rsidRPr="00835D6A">
              <w:rPr>
                <w:u w:val="single"/>
              </w:rPr>
              <w:t>Part 2</w:t>
            </w:r>
            <w:r>
              <w:t xml:space="preserve">: 3 minute interview. </w:t>
            </w:r>
          </w:p>
          <w:p w:rsidR="00A34E09" w:rsidRPr="00835D6A" w:rsidRDefault="00835D6A" w:rsidP="00A34E09">
            <w:pPr>
              <w:pStyle w:val="SOTableText"/>
            </w:pPr>
            <w:r w:rsidRPr="00A34E09">
              <w:t xml:space="preserve">Students are provided with a list of </w:t>
            </w:r>
            <w:r w:rsidR="00A34E09" w:rsidRPr="00A34E09">
              <w:t xml:space="preserve">potential </w:t>
            </w:r>
            <w:r w:rsidRPr="00A34E09">
              <w:t>ques</w:t>
            </w:r>
            <w:r w:rsidR="00A34E09" w:rsidRPr="00A34E09">
              <w:t xml:space="preserve">tions they may be asked </w:t>
            </w:r>
            <w:r w:rsidRPr="00A34E09">
              <w:t>to</w:t>
            </w:r>
            <w:r w:rsidR="00A34E09" w:rsidRPr="00A34E09">
              <w:t xml:space="preserve"> explain the cashflow statement.</w:t>
            </w:r>
          </w:p>
          <w:p w:rsidR="00835D6A" w:rsidRPr="00835D6A" w:rsidRDefault="00835D6A" w:rsidP="00835D6A">
            <w:pPr>
              <w:pStyle w:val="SOTableText"/>
            </w:pPr>
          </w:p>
        </w:tc>
      </w:tr>
      <w:tr w:rsidR="00994DDE" w:rsidRPr="00153C12" w:rsidTr="00A86656">
        <w:trPr>
          <w:trHeight w:val="803"/>
        </w:trPr>
        <w:tc>
          <w:tcPr>
            <w:tcW w:w="4513" w:type="dxa"/>
            <w:shd w:val="clear" w:color="auto" w:fill="auto"/>
            <w:vAlign w:val="center"/>
          </w:tcPr>
          <w:p w:rsidR="00994DDE" w:rsidRDefault="00835D6A" w:rsidP="0099514A">
            <w:pPr>
              <w:pStyle w:val="SOTableText"/>
            </w:pPr>
            <w:r>
              <w:t>Key context</w:t>
            </w:r>
            <w:r w:rsidR="00994DDE">
              <w:t>:</w:t>
            </w:r>
            <w:r>
              <w:t xml:space="preserve"> Providing Accounting Advice</w:t>
            </w:r>
          </w:p>
          <w:p w:rsidR="00994DDE" w:rsidRDefault="00994DDE" w:rsidP="0099514A">
            <w:pPr>
              <w:pStyle w:val="SOTableText"/>
            </w:pPr>
            <w:r>
              <w:t>Learning strand</w:t>
            </w:r>
            <w:r w:rsidR="00835D6A">
              <w:t>s</w:t>
            </w:r>
            <w:r>
              <w:t>:</w:t>
            </w:r>
            <w:r w:rsidR="00835D6A">
              <w:t xml:space="preserve"> Stakeholder information and decision-making, Innovation.</w:t>
            </w:r>
            <w:r w:rsidR="00A86656">
              <w:t xml:space="preserve"> </w:t>
            </w:r>
          </w:p>
          <w:p w:rsidR="00994DDE" w:rsidRPr="002B31F8" w:rsidRDefault="00994DDE" w:rsidP="005A5B13">
            <w:pPr>
              <w:pStyle w:val="SOTableText"/>
            </w:pPr>
            <w:r>
              <w:t>Working collaboratively</w:t>
            </w:r>
            <w:r w:rsidR="005A5B13">
              <w:t xml:space="preserve"> with a local business</w:t>
            </w:r>
            <w:r>
              <w:t>, students complete a ratio analysis to provide advice to the manager of a business. Students explore, analyse and interpret the business manager’s accounting information needs. They analyse and evaluate authentic business data to develop authentic accounting advice</w:t>
            </w:r>
            <w:r w:rsidR="00A34E09">
              <w:t>.</w:t>
            </w:r>
          </w:p>
        </w:tc>
        <w:tc>
          <w:tcPr>
            <w:tcW w:w="709" w:type="dxa"/>
            <w:shd w:val="clear" w:color="auto" w:fill="auto"/>
            <w:vAlign w:val="center"/>
          </w:tcPr>
          <w:p w:rsidR="00994DDE" w:rsidRPr="002B31F8" w:rsidRDefault="00A34E09" w:rsidP="0099514A">
            <w:pPr>
              <w:pStyle w:val="SOTableText"/>
              <w:jc w:val="center"/>
            </w:pPr>
            <w:r>
              <w:t>2</w:t>
            </w:r>
          </w:p>
        </w:tc>
        <w:tc>
          <w:tcPr>
            <w:tcW w:w="803" w:type="dxa"/>
            <w:shd w:val="clear" w:color="auto" w:fill="auto"/>
            <w:vAlign w:val="center"/>
          </w:tcPr>
          <w:p w:rsidR="00994DDE" w:rsidRPr="002B31F8" w:rsidRDefault="00A34E09" w:rsidP="0099514A">
            <w:pPr>
              <w:pStyle w:val="SOTableText"/>
              <w:jc w:val="center"/>
            </w:pPr>
            <w:r>
              <w:t>3</w:t>
            </w:r>
          </w:p>
        </w:tc>
        <w:tc>
          <w:tcPr>
            <w:tcW w:w="898" w:type="dxa"/>
            <w:shd w:val="clear" w:color="auto" w:fill="auto"/>
            <w:vAlign w:val="center"/>
          </w:tcPr>
          <w:p w:rsidR="00994DDE" w:rsidRPr="002B31F8" w:rsidRDefault="00A34E09" w:rsidP="0099514A">
            <w:pPr>
              <w:pStyle w:val="SOTableText"/>
              <w:jc w:val="center"/>
            </w:pPr>
            <w:r>
              <w:t>2</w:t>
            </w:r>
          </w:p>
        </w:tc>
        <w:tc>
          <w:tcPr>
            <w:tcW w:w="3283" w:type="dxa"/>
            <w:shd w:val="clear" w:color="auto" w:fill="auto"/>
          </w:tcPr>
          <w:p w:rsidR="00994DDE" w:rsidRDefault="00A34E09" w:rsidP="00A86656">
            <w:pPr>
              <w:pStyle w:val="SOTableText"/>
            </w:pPr>
            <w:r>
              <w:t>Written report or multimodal presentation,</w:t>
            </w:r>
          </w:p>
          <w:p w:rsidR="005A5B13" w:rsidRDefault="005A5B13" w:rsidP="00A86656">
            <w:pPr>
              <w:pStyle w:val="SOTableText"/>
            </w:pPr>
          </w:p>
          <w:p w:rsidR="005A5B13" w:rsidRDefault="005A5B13" w:rsidP="00A86656">
            <w:pPr>
              <w:pStyle w:val="SOTableText"/>
            </w:pPr>
            <w:r>
              <w:t xml:space="preserve">Word length: 900 words or </w:t>
            </w:r>
            <w:r w:rsidR="00A34E09">
              <w:t xml:space="preserve">equivalent in </w:t>
            </w:r>
            <w:r>
              <w:t xml:space="preserve">multimodal </w:t>
            </w:r>
            <w:r w:rsidR="00A34E09">
              <w:t>form.</w:t>
            </w:r>
          </w:p>
          <w:p w:rsidR="005A5B13" w:rsidRPr="002B31F8" w:rsidRDefault="005A5B13" w:rsidP="00A86656">
            <w:pPr>
              <w:pStyle w:val="SOTableText"/>
            </w:pPr>
          </w:p>
        </w:tc>
      </w:tr>
    </w:tbl>
    <w:p w:rsidR="00A473CC" w:rsidRDefault="00A473CC" w:rsidP="002D50D4">
      <w:pPr>
        <w:pStyle w:val="SOTableText"/>
        <w:spacing w:before="120" w:after="120"/>
        <w:rPr>
          <w:rFonts w:ascii="Roboto Medium" w:hAnsi="Roboto Medium"/>
          <w:sz w:val="20"/>
        </w:rPr>
      </w:pPr>
    </w:p>
    <w:p w:rsidR="0083689B" w:rsidRDefault="0083689B" w:rsidP="00A473CC">
      <w:pPr>
        <w:rPr>
          <w:rFonts w:ascii="Roboto Medium" w:hAnsi="Roboto Medium"/>
        </w:rPr>
      </w:pPr>
    </w:p>
    <w:p w:rsidR="00135A58" w:rsidRDefault="00135A58">
      <w:pPr>
        <w:spacing w:after="0"/>
        <w:rPr>
          <w:rFonts w:ascii="Roboto Medium" w:hAnsi="Roboto Medium"/>
        </w:rPr>
      </w:pPr>
      <w:r>
        <w:rPr>
          <w:rFonts w:ascii="Roboto Medium" w:hAnsi="Roboto Medium"/>
        </w:rPr>
        <w:br w:type="page"/>
      </w:r>
    </w:p>
    <w:p w:rsidR="00AD3260" w:rsidRPr="00C37C82" w:rsidRDefault="00AD3260" w:rsidP="00A473CC">
      <w:pPr>
        <w:rPr>
          <w:i/>
        </w:rPr>
      </w:pPr>
      <w:r w:rsidRPr="00C37C82">
        <w:rPr>
          <w:rFonts w:ascii="Roboto Medium" w:hAnsi="Roboto Medium"/>
        </w:rPr>
        <w:lastRenderedPageBreak/>
        <w:t>Assessment Type 2:</w:t>
      </w:r>
      <w:r w:rsidRPr="00C37C82">
        <w:t xml:space="preserve"> </w:t>
      </w:r>
      <w:r w:rsidR="002B31F8" w:rsidRPr="002B31F8">
        <w:rPr>
          <w:b/>
        </w:rPr>
        <w:t>Accounting Advice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51"/>
        <w:gridCol w:w="850"/>
        <w:gridCol w:w="3283"/>
      </w:tblGrid>
      <w:tr w:rsidR="00111A42" w:rsidRPr="00153C12" w:rsidTr="002D50D4">
        <w:trPr>
          <w:trHeight w:val="397"/>
        </w:trPr>
        <w:tc>
          <w:tcPr>
            <w:tcW w:w="4513" w:type="dxa"/>
            <w:vMerge w:val="restart"/>
            <w:shd w:val="clear" w:color="auto" w:fill="D9D9D9" w:themeFill="background1" w:themeFillShade="D9"/>
            <w:vAlign w:val="center"/>
          </w:tcPr>
          <w:p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rsidR="00111A42" w:rsidRPr="00153C12" w:rsidRDefault="005D1617" w:rsidP="008969E4">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rsidR="00111A42" w:rsidRPr="00103D79" w:rsidRDefault="00111A42" w:rsidP="008969E4">
            <w:pPr>
              <w:pStyle w:val="SOTableHeadings"/>
            </w:pPr>
            <w:r w:rsidRPr="00103D79">
              <w:t xml:space="preserve">Assessment conditions </w:t>
            </w:r>
          </w:p>
          <w:p w:rsidR="00111A42" w:rsidRPr="00153C12" w:rsidRDefault="00111A42" w:rsidP="008969E4">
            <w:pPr>
              <w:pStyle w:val="SOTableText"/>
            </w:pPr>
            <w:r w:rsidRPr="00103D79">
              <w:t>(e.g. task type, word length, time allocated, supervision)</w:t>
            </w:r>
          </w:p>
        </w:tc>
      </w:tr>
      <w:tr w:rsidR="00111A42" w:rsidRPr="00153C12" w:rsidTr="002D50D4">
        <w:trPr>
          <w:trHeight w:val="397"/>
        </w:trPr>
        <w:tc>
          <w:tcPr>
            <w:tcW w:w="4513" w:type="dxa"/>
            <w:vMerge/>
            <w:shd w:val="clear" w:color="auto" w:fill="D9D9D9" w:themeFill="background1" w:themeFillShade="D9"/>
            <w:vAlign w:val="center"/>
          </w:tcPr>
          <w:p w:rsidR="00111A42" w:rsidRPr="00DE3C5C" w:rsidRDefault="00111A42" w:rsidP="008969E4">
            <w:pPr>
              <w:pStyle w:val="SOTableText"/>
              <w:rPr>
                <w:i/>
              </w:rPr>
            </w:pPr>
          </w:p>
        </w:tc>
        <w:tc>
          <w:tcPr>
            <w:tcW w:w="709" w:type="dxa"/>
            <w:shd w:val="clear" w:color="auto" w:fill="D9D9D9" w:themeFill="background1" w:themeFillShade="D9"/>
            <w:vAlign w:val="center"/>
          </w:tcPr>
          <w:p w:rsidR="00111A42" w:rsidRPr="00103D79" w:rsidRDefault="00DE4903" w:rsidP="008969E4">
            <w:pPr>
              <w:pStyle w:val="SOTableHeadings"/>
              <w:jc w:val="center"/>
            </w:pPr>
            <w:r>
              <w:t>UE</w:t>
            </w:r>
          </w:p>
        </w:tc>
        <w:tc>
          <w:tcPr>
            <w:tcW w:w="851" w:type="dxa"/>
            <w:shd w:val="clear" w:color="auto" w:fill="D9D9D9" w:themeFill="background1" w:themeFillShade="D9"/>
            <w:vAlign w:val="center"/>
          </w:tcPr>
          <w:p w:rsidR="00111A42" w:rsidRPr="00103D79" w:rsidRDefault="002B31F8" w:rsidP="008969E4">
            <w:pPr>
              <w:pStyle w:val="SOTableHeadings"/>
              <w:jc w:val="center"/>
            </w:pPr>
            <w:r>
              <w:t>A</w:t>
            </w:r>
            <w:r w:rsidR="00A473CC">
              <w:t>p</w:t>
            </w:r>
          </w:p>
        </w:tc>
        <w:tc>
          <w:tcPr>
            <w:tcW w:w="850" w:type="dxa"/>
            <w:shd w:val="clear" w:color="auto" w:fill="D9D9D9" w:themeFill="background1" w:themeFillShade="D9"/>
            <w:vAlign w:val="center"/>
          </w:tcPr>
          <w:p w:rsidR="00111A42" w:rsidRPr="00103D79" w:rsidRDefault="002B31F8" w:rsidP="008969E4">
            <w:pPr>
              <w:pStyle w:val="SOTableHeadings"/>
              <w:jc w:val="center"/>
            </w:pPr>
            <w:r>
              <w:t>AE</w:t>
            </w:r>
          </w:p>
        </w:tc>
        <w:tc>
          <w:tcPr>
            <w:tcW w:w="3283" w:type="dxa"/>
            <w:vMerge/>
            <w:shd w:val="clear" w:color="auto" w:fill="auto"/>
            <w:vAlign w:val="center"/>
          </w:tcPr>
          <w:p w:rsidR="00111A42" w:rsidRPr="00153C12" w:rsidRDefault="00111A42" w:rsidP="008969E4">
            <w:pPr>
              <w:pStyle w:val="SOTableText"/>
            </w:pPr>
          </w:p>
        </w:tc>
      </w:tr>
      <w:tr w:rsidR="00111A42" w:rsidRPr="00153C12" w:rsidTr="004D4FE1">
        <w:trPr>
          <w:trHeight w:val="698"/>
        </w:trPr>
        <w:tc>
          <w:tcPr>
            <w:tcW w:w="4513" w:type="dxa"/>
            <w:shd w:val="clear" w:color="auto" w:fill="auto"/>
          </w:tcPr>
          <w:p w:rsidR="00111A42" w:rsidRPr="00E61513" w:rsidRDefault="00037A08" w:rsidP="004D4FE1">
            <w:pPr>
              <w:spacing w:before="40" w:after="40"/>
              <w:rPr>
                <w:rFonts w:eastAsia="Calibri" w:cs="Arial"/>
                <w:sz w:val="18"/>
                <w:szCs w:val="18"/>
              </w:rPr>
            </w:pPr>
            <w:r>
              <w:rPr>
                <w:rFonts w:eastAsia="Calibri" w:cs="Arial"/>
                <w:b/>
                <w:sz w:val="18"/>
                <w:szCs w:val="18"/>
                <w:u w:val="single"/>
              </w:rPr>
              <w:t xml:space="preserve">Key </w:t>
            </w:r>
            <w:r w:rsidR="00E61513" w:rsidRPr="00E61513">
              <w:rPr>
                <w:rFonts w:eastAsia="Calibri" w:cs="Arial"/>
                <w:b/>
                <w:sz w:val="18"/>
                <w:szCs w:val="18"/>
                <w:u w:val="single"/>
              </w:rPr>
              <w:t>Context</w:t>
            </w:r>
            <w:r w:rsidR="00E61513" w:rsidRPr="00E61513">
              <w:rPr>
                <w:rFonts w:eastAsia="Calibri" w:cs="Arial"/>
                <w:b/>
                <w:sz w:val="18"/>
                <w:szCs w:val="18"/>
              </w:rPr>
              <w:t xml:space="preserve">: </w:t>
            </w:r>
            <w:r w:rsidR="00E61513" w:rsidRPr="00E61513">
              <w:rPr>
                <w:rFonts w:eastAsia="Calibri" w:cs="Arial"/>
                <w:sz w:val="18"/>
                <w:szCs w:val="18"/>
              </w:rPr>
              <w:t>Providing Accounting Advice</w:t>
            </w:r>
          </w:p>
          <w:p w:rsidR="00BE4820" w:rsidRPr="00E61513" w:rsidRDefault="00E61513" w:rsidP="004D4FE1">
            <w:pPr>
              <w:spacing w:before="40" w:after="40"/>
              <w:rPr>
                <w:rFonts w:eastAsia="Calibri" w:cs="Arial"/>
                <w:b/>
                <w:sz w:val="18"/>
                <w:szCs w:val="18"/>
              </w:rPr>
            </w:pPr>
            <w:r w:rsidRPr="00E61513">
              <w:rPr>
                <w:rFonts w:eastAsia="Calibri" w:cs="Arial"/>
                <w:b/>
                <w:sz w:val="18"/>
                <w:szCs w:val="18"/>
                <w:u w:val="single"/>
              </w:rPr>
              <w:t>Learning Strands</w:t>
            </w:r>
            <w:r w:rsidRPr="00E61513">
              <w:rPr>
                <w:rFonts w:eastAsia="Calibri" w:cs="Arial"/>
                <w:b/>
                <w:sz w:val="18"/>
                <w:szCs w:val="18"/>
              </w:rPr>
              <w:t xml:space="preserve">: </w:t>
            </w:r>
            <w:r w:rsidRPr="00E61513">
              <w:rPr>
                <w:rFonts w:eastAsia="Calibri" w:cs="Arial"/>
                <w:sz w:val="18"/>
                <w:szCs w:val="18"/>
              </w:rPr>
              <w:t>Financial Literacy, Stakeholder Information and Decision-making, Innovation</w:t>
            </w:r>
          </w:p>
          <w:p w:rsidR="00A473CC" w:rsidRDefault="00A473CC" w:rsidP="004D4FE1">
            <w:pPr>
              <w:spacing w:before="40" w:after="40"/>
              <w:rPr>
                <w:rFonts w:eastAsia="Calibri" w:cs="Arial"/>
                <w:sz w:val="18"/>
                <w:szCs w:val="18"/>
              </w:rPr>
            </w:pPr>
          </w:p>
          <w:p w:rsidR="00A473CC" w:rsidRDefault="00E61513" w:rsidP="004D4FE1">
            <w:pPr>
              <w:spacing w:before="40" w:after="40"/>
              <w:rPr>
                <w:rFonts w:eastAsia="Calibri" w:cs="Arial"/>
                <w:sz w:val="18"/>
                <w:szCs w:val="18"/>
              </w:rPr>
            </w:pPr>
            <w:r>
              <w:rPr>
                <w:rFonts w:eastAsia="Calibri" w:cs="Arial"/>
                <w:sz w:val="18"/>
                <w:szCs w:val="18"/>
              </w:rPr>
              <w:t xml:space="preserve">Students work collaboratively to design and propose authentic accounting advice. </w:t>
            </w:r>
            <w:r w:rsidR="004D4FE1">
              <w:rPr>
                <w:rFonts w:eastAsia="Calibri" w:cs="Arial"/>
                <w:sz w:val="18"/>
                <w:szCs w:val="18"/>
              </w:rPr>
              <w:t>Students develop accounting information for use by identified stakeholders in decision-making. Students prepare authentic accounting advice, using business data to:</w:t>
            </w:r>
          </w:p>
          <w:p w:rsidR="004D4FE1" w:rsidRDefault="004D4FE1" w:rsidP="004D4FE1">
            <w:pPr>
              <w:pStyle w:val="SOFinalBodyText"/>
              <w:numPr>
                <w:ilvl w:val="0"/>
                <w:numId w:val="7"/>
              </w:numPr>
              <w:spacing w:before="0" w:after="0"/>
              <w:rPr>
                <w:rFonts w:ascii="Roboto Light" w:eastAsia="Calibri" w:hAnsi="Roboto Light"/>
                <w:color w:val="auto"/>
                <w:sz w:val="18"/>
                <w:szCs w:val="18"/>
                <w:lang w:val="en-AU"/>
              </w:rPr>
            </w:pPr>
            <w:r w:rsidRPr="004D4FE1">
              <w:rPr>
                <w:rFonts w:ascii="Roboto Light" w:eastAsia="Calibri" w:hAnsi="Roboto Light"/>
                <w:color w:val="auto"/>
                <w:sz w:val="18"/>
                <w:szCs w:val="18"/>
                <w:lang w:val="en-AU"/>
              </w:rPr>
              <w:t xml:space="preserve">prepare forecasts </w:t>
            </w:r>
          </w:p>
          <w:p w:rsidR="004D4FE1" w:rsidRDefault="004D4FE1" w:rsidP="004D4FE1">
            <w:pPr>
              <w:pStyle w:val="SOFinalBodyText"/>
              <w:numPr>
                <w:ilvl w:val="0"/>
                <w:numId w:val="7"/>
              </w:numPr>
              <w:spacing w:before="0" w:after="0"/>
              <w:rPr>
                <w:rFonts w:ascii="Roboto Light" w:eastAsia="Calibri" w:hAnsi="Roboto Light"/>
                <w:color w:val="auto"/>
                <w:sz w:val="18"/>
                <w:szCs w:val="18"/>
                <w:lang w:val="en-AU"/>
              </w:rPr>
            </w:pPr>
            <w:r w:rsidRPr="004D4FE1">
              <w:rPr>
                <w:rFonts w:ascii="Roboto Light" w:eastAsia="Calibri" w:hAnsi="Roboto Light"/>
                <w:color w:val="auto"/>
                <w:sz w:val="18"/>
                <w:szCs w:val="18"/>
                <w:lang w:val="en-AU"/>
              </w:rPr>
              <w:t>analyse and in</w:t>
            </w:r>
            <w:r>
              <w:rPr>
                <w:rFonts w:ascii="Roboto Light" w:eastAsia="Calibri" w:hAnsi="Roboto Light"/>
                <w:color w:val="auto"/>
                <w:sz w:val="18"/>
                <w:szCs w:val="18"/>
                <w:lang w:val="en-AU"/>
              </w:rPr>
              <w:t>terpret accounting information</w:t>
            </w:r>
          </w:p>
          <w:p w:rsidR="004D4FE1" w:rsidRPr="004D4FE1" w:rsidRDefault="004D4FE1" w:rsidP="004D4FE1">
            <w:pPr>
              <w:pStyle w:val="SOFinalBodyText"/>
              <w:numPr>
                <w:ilvl w:val="0"/>
                <w:numId w:val="7"/>
              </w:numPr>
              <w:spacing w:before="0" w:after="0"/>
              <w:rPr>
                <w:rFonts w:ascii="Roboto Light" w:eastAsia="Calibri" w:hAnsi="Roboto Light"/>
                <w:color w:val="auto"/>
                <w:sz w:val="18"/>
                <w:szCs w:val="18"/>
                <w:lang w:val="en-AU"/>
              </w:rPr>
            </w:pPr>
            <w:r>
              <w:rPr>
                <w:rFonts w:ascii="Roboto Light" w:eastAsia="Calibri" w:hAnsi="Roboto Light"/>
                <w:color w:val="auto"/>
                <w:sz w:val="18"/>
                <w:szCs w:val="18"/>
                <w:lang w:val="en-AU"/>
              </w:rPr>
              <w:t>provide recommendations.</w:t>
            </w:r>
          </w:p>
          <w:p w:rsidR="00A473CC" w:rsidRPr="004D4FE1" w:rsidRDefault="00A473CC" w:rsidP="004D4FE1">
            <w:pPr>
              <w:spacing w:before="40" w:after="40"/>
              <w:rPr>
                <w:rFonts w:eastAsia="Calibri" w:cs="Arial"/>
                <w:sz w:val="18"/>
                <w:szCs w:val="18"/>
                <w:lang w:val="en-US"/>
              </w:rPr>
            </w:pPr>
          </w:p>
          <w:p w:rsidR="00A473CC" w:rsidRPr="002B31F8" w:rsidRDefault="00A473CC" w:rsidP="004D4FE1">
            <w:pPr>
              <w:spacing w:before="40" w:after="40"/>
              <w:rPr>
                <w:rFonts w:eastAsia="Calibri" w:cs="Arial"/>
                <w:sz w:val="18"/>
                <w:szCs w:val="18"/>
              </w:rPr>
            </w:pPr>
          </w:p>
        </w:tc>
        <w:tc>
          <w:tcPr>
            <w:tcW w:w="709" w:type="dxa"/>
            <w:shd w:val="clear" w:color="auto" w:fill="auto"/>
          </w:tcPr>
          <w:p w:rsidR="002D50D4" w:rsidRPr="002B31F8" w:rsidRDefault="002D50D4" w:rsidP="004D4FE1">
            <w:pPr>
              <w:pStyle w:val="SOTableText"/>
            </w:pPr>
          </w:p>
        </w:tc>
        <w:tc>
          <w:tcPr>
            <w:tcW w:w="851" w:type="dxa"/>
            <w:shd w:val="clear" w:color="auto" w:fill="auto"/>
          </w:tcPr>
          <w:p w:rsidR="002D50D4" w:rsidRPr="002B31F8" w:rsidRDefault="00E61513" w:rsidP="004D4FE1">
            <w:pPr>
              <w:pStyle w:val="SOTableText"/>
            </w:pPr>
            <w:r>
              <w:t>1,</w:t>
            </w:r>
            <w:r w:rsidR="004D4FE1">
              <w:t xml:space="preserve"> </w:t>
            </w:r>
            <w:r>
              <w:t>2,</w:t>
            </w:r>
            <w:r w:rsidR="004D4FE1">
              <w:t xml:space="preserve"> </w:t>
            </w:r>
            <w:r>
              <w:t>3</w:t>
            </w:r>
          </w:p>
        </w:tc>
        <w:tc>
          <w:tcPr>
            <w:tcW w:w="850" w:type="dxa"/>
            <w:shd w:val="clear" w:color="auto" w:fill="auto"/>
          </w:tcPr>
          <w:p w:rsidR="002D50D4" w:rsidRPr="002B31F8" w:rsidRDefault="00E61513" w:rsidP="005A5B13">
            <w:pPr>
              <w:pStyle w:val="SOTableText"/>
              <w:jc w:val="center"/>
            </w:pPr>
            <w:r>
              <w:t>2</w:t>
            </w:r>
          </w:p>
        </w:tc>
        <w:tc>
          <w:tcPr>
            <w:tcW w:w="3283" w:type="dxa"/>
            <w:shd w:val="clear" w:color="auto" w:fill="auto"/>
          </w:tcPr>
          <w:p w:rsidR="004D4FE1" w:rsidRPr="004D4FE1" w:rsidRDefault="004D4FE1" w:rsidP="004D4FE1">
            <w:pPr>
              <w:pStyle w:val="SOFinalBodyText"/>
              <w:rPr>
                <w:rFonts w:ascii="Roboto Light" w:eastAsia="MS Mincho" w:hAnsi="Roboto Light"/>
                <w:color w:val="auto"/>
                <w:sz w:val="18"/>
                <w:szCs w:val="20"/>
              </w:rPr>
            </w:pPr>
            <w:r w:rsidRPr="004D4FE1">
              <w:rPr>
                <w:rFonts w:ascii="Roboto Light" w:eastAsia="MS Mincho" w:hAnsi="Roboto Light"/>
                <w:color w:val="auto"/>
                <w:sz w:val="18"/>
                <w:szCs w:val="20"/>
              </w:rPr>
              <w:t>Students collaborate in the gathering of relevant information. They may collaborate in the preparation of forecasts and reports. Students work individually in their analysis and interpretation of information and in their preparation of recommendations.</w:t>
            </w:r>
          </w:p>
          <w:p w:rsidR="002D50D4" w:rsidRPr="001F0B92" w:rsidRDefault="004D4FE1" w:rsidP="001F0B92">
            <w:pPr>
              <w:pStyle w:val="SOFinalBodyText"/>
              <w:rPr>
                <w:rFonts w:ascii="Roboto Light" w:eastAsia="MS Mincho" w:hAnsi="Roboto Light"/>
                <w:color w:val="auto"/>
                <w:sz w:val="18"/>
                <w:szCs w:val="20"/>
              </w:rPr>
            </w:pPr>
            <w:r w:rsidRPr="004D4FE1">
              <w:rPr>
                <w:rFonts w:ascii="Roboto Light" w:eastAsia="MS Mincho" w:hAnsi="Roboto Light"/>
                <w:color w:val="auto"/>
                <w:sz w:val="18"/>
                <w:szCs w:val="20"/>
              </w:rPr>
              <w:t xml:space="preserve">Each student presents individual evidence of their learning. </w:t>
            </w:r>
            <w:r w:rsidRPr="001F0B92">
              <w:rPr>
                <w:rFonts w:ascii="Roboto Light" w:eastAsia="MS Mincho" w:hAnsi="Roboto Light"/>
                <w:color w:val="auto"/>
                <w:sz w:val="18"/>
                <w:szCs w:val="20"/>
              </w:rPr>
              <w:t>Students also present an evaluation of their contribution to and the effectiveness of the collaboration undertaken. They may use self and peer assessment to inform their evaluation</w:t>
            </w:r>
          </w:p>
          <w:p w:rsidR="004D4FE1" w:rsidRDefault="004D4FE1" w:rsidP="004D4FE1">
            <w:pPr>
              <w:pStyle w:val="SOTableText"/>
            </w:pPr>
          </w:p>
          <w:p w:rsidR="004D4FE1" w:rsidRPr="002B31F8" w:rsidRDefault="004D4FE1" w:rsidP="004D4FE1">
            <w:pPr>
              <w:pStyle w:val="SOTableText"/>
              <w:rPr>
                <w:szCs w:val="18"/>
              </w:rPr>
            </w:pPr>
            <w:r>
              <w:t>The Accounting Advice should be presented in multimodal format to the equivalent of 9 minutes or 1500 words maximum</w:t>
            </w:r>
            <w:r w:rsidR="005A5B13">
              <w:t xml:space="preserve"> </w:t>
            </w:r>
            <w:r w:rsidR="005A5B13" w:rsidRPr="00A34E09">
              <w:t>(including evaluation of collaboration)</w:t>
            </w:r>
          </w:p>
        </w:tc>
      </w:tr>
    </w:tbl>
    <w:p w:rsidR="00483E68" w:rsidRDefault="00AD3260" w:rsidP="00AD3260">
      <w:pPr>
        <w:spacing w:before="240"/>
        <w:rPr>
          <w:szCs w:val="20"/>
          <w:lang w:val="en-US"/>
        </w:rPr>
      </w:pPr>
      <w:r w:rsidRPr="00AD3260">
        <w:rPr>
          <w:rFonts w:ascii="Roboto Medium" w:hAnsi="Roboto Medium"/>
        </w:rPr>
        <w:t>Assessment Type 3:</w:t>
      </w:r>
      <w:r w:rsidRPr="00EE4F23">
        <w:t xml:space="preserve">  </w:t>
      </w:r>
      <w:r w:rsidR="002B31F8" w:rsidRPr="002B31F8">
        <w:rPr>
          <w:b/>
        </w:rPr>
        <w:t>Examination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51"/>
        <w:gridCol w:w="850"/>
        <w:gridCol w:w="3283"/>
      </w:tblGrid>
      <w:tr w:rsidR="00111A42" w:rsidRPr="00153C12" w:rsidTr="002D50D4">
        <w:trPr>
          <w:trHeight w:val="397"/>
        </w:trPr>
        <w:tc>
          <w:tcPr>
            <w:tcW w:w="4513" w:type="dxa"/>
            <w:vMerge w:val="restart"/>
            <w:shd w:val="clear" w:color="auto" w:fill="D9D9D9" w:themeFill="background1" w:themeFillShade="D9"/>
            <w:vAlign w:val="center"/>
          </w:tcPr>
          <w:p w:rsidR="00111A42" w:rsidRPr="00111A42" w:rsidRDefault="00111A42" w:rsidP="005D1617">
            <w:pPr>
              <w:pStyle w:val="SOTableText"/>
              <w:rPr>
                <w:rFonts w:ascii="Roboto Medium" w:hAnsi="Roboto Medium"/>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rsidR="00111A42" w:rsidRPr="00153C12" w:rsidRDefault="005D1617" w:rsidP="008969E4">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rsidR="00111A42" w:rsidRPr="00103D79" w:rsidRDefault="00111A42" w:rsidP="008969E4">
            <w:pPr>
              <w:pStyle w:val="SOTableHeadings"/>
            </w:pPr>
            <w:r w:rsidRPr="00103D79">
              <w:t xml:space="preserve">Assessment conditions </w:t>
            </w:r>
          </w:p>
          <w:p w:rsidR="00111A42" w:rsidRPr="00153C12" w:rsidRDefault="00111A42" w:rsidP="008969E4">
            <w:pPr>
              <w:pStyle w:val="SOTableText"/>
            </w:pPr>
            <w:r w:rsidRPr="00103D79">
              <w:t>(e.g. task type, word length, time allocated, supervision)</w:t>
            </w:r>
          </w:p>
        </w:tc>
      </w:tr>
      <w:tr w:rsidR="00111A42" w:rsidRPr="00153C12" w:rsidTr="002D50D4">
        <w:trPr>
          <w:trHeight w:val="397"/>
        </w:trPr>
        <w:tc>
          <w:tcPr>
            <w:tcW w:w="4513" w:type="dxa"/>
            <w:vMerge/>
            <w:shd w:val="clear" w:color="auto" w:fill="D9D9D9" w:themeFill="background1" w:themeFillShade="D9"/>
            <w:vAlign w:val="center"/>
          </w:tcPr>
          <w:p w:rsidR="00111A42" w:rsidRPr="00EE4F23" w:rsidRDefault="00111A42" w:rsidP="008969E4">
            <w:pPr>
              <w:pStyle w:val="SOTableText"/>
              <w:rPr>
                <w:i/>
              </w:rPr>
            </w:pPr>
          </w:p>
        </w:tc>
        <w:tc>
          <w:tcPr>
            <w:tcW w:w="709" w:type="dxa"/>
            <w:shd w:val="clear" w:color="auto" w:fill="D9D9D9" w:themeFill="background1" w:themeFillShade="D9"/>
            <w:vAlign w:val="center"/>
          </w:tcPr>
          <w:p w:rsidR="00111A42" w:rsidRPr="00103D79" w:rsidRDefault="002B31F8" w:rsidP="008969E4">
            <w:pPr>
              <w:pStyle w:val="SOTableHeadings"/>
              <w:jc w:val="center"/>
            </w:pPr>
            <w:r>
              <w:t>UE</w:t>
            </w:r>
          </w:p>
        </w:tc>
        <w:tc>
          <w:tcPr>
            <w:tcW w:w="851" w:type="dxa"/>
            <w:shd w:val="clear" w:color="auto" w:fill="D9D9D9" w:themeFill="background1" w:themeFillShade="D9"/>
            <w:vAlign w:val="center"/>
          </w:tcPr>
          <w:p w:rsidR="00111A42" w:rsidRPr="00103D79" w:rsidRDefault="00111A42" w:rsidP="008969E4">
            <w:pPr>
              <w:pStyle w:val="SOTableHeadings"/>
              <w:jc w:val="center"/>
            </w:pPr>
            <w:r w:rsidRPr="00103D79">
              <w:t>A</w:t>
            </w:r>
            <w:r w:rsidR="00A473CC">
              <w:t>p</w:t>
            </w:r>
          </w:p>
        </w:tc>
        <w:tc>
          <w:tcPr>
            <w:tcW w:w="850" w:type="dxa"/>
            <w:shd w:val="clear" w:color="auto" w:fill="D9D9D9" w:themeFill="background1" w:themeFillShade="D9"/>
            <w:vAlign w:val="center"/>
          </w:tcPr>
          <w:p w:rsidR="00111A42" w:rsidRPr="00103D79" w:rsidRDefault="002B31F8" w:rsidP="008969E4">
            <w:pPr>
              <w:pStyle w:val="SOTableHeadings"/>
              <w:jc w:val="center"/>
            </w:pPr>
            <w:r>
              <w:t>AE</w:t>
            </w:r>
          </w:p>
        </w:tc>
        <w:tc>
          <w:tcPr>
            <w:tcW w:w="3283" w:type="dxa"/>
            <w:vMerge/>
            <w:shd w:val="clear" w:color="auto" w:fill="auto"/>
            <w:vAlign w:val="center"/>
          </w:tcPr>
          <w:p w:rsidR="00111A42" w:rsidRPr="00153C12" w:rsidRDefault="00111A42" w:rsidP="008969E4">
            <w:pPr>
              <w:pStyle w:val="SOTableText"/>
            </w:pPr>
          </w:p>
        </w:tc>
      </w:tr>
      <w:tr w:rsidR="00470B25" w:rsidRPr="00153C12" w:rsidTr="002D50D4">
        <w:trPr>
          <w:trHeight w:val="762"/>
        </w:trPr>
        <w:tc>
          <w:tcPr>
            <w:tcW w:w="4513" w:type="dxa"/>
            <w:shd w:val="clear" w:color="auto" w:fill="auto"/>
            <w:vAlign w:val="center"/>
          </w:tcPr>
          <w:p w:rsidR="00A473CC" w:rsidRPr="002B31F8" w:rsidRDefault="00A473CC" w:rsidP="00A473CC">
            <w:pPr>
              <w:pStyle w:val="SOTableText"/>
            </w:pPr>
            <w:r>
              <w:t xml:space="preserve">External assessment </w:t>
            </w:r>
          </w:p>
        </w:tc>
        <w:tc>
          <w:tcPr>
            <w:tcW w:w="709" w:type="dxa"/>
            <w:shd w:val="clear" w:color="auto" w:fill="auto"/>
            <w:vAlign w:val="center"/>
          </w:tcPr>
          <w:p w:rsidR="00470B25" w:rsidRPr="002B31F8" w:rsidRDefault="00A473CC" w:rsidP="008969E4">
            <w:pPr>
              <w:pStyle w:val="SOTableText"/>
              <w:jc w:val="center"/>
            </w:pPr>
            <w:r>
              <w:t>1, 2</w:t>
            </w:r>
          </w:p>
        </w:tc>
        <w:tc>
          <w:tcPr>
            <w:tcW w:w="851" w:type="dxa"/>
            <w:shd w:val="clear" w:color="auto" w:fill="auto"/>
            <w:vAlign w:val="center"/>
          </w:tcPr>
          <w:p w:rsidR="00470B25" w:rsidRPr="002B31F8" w:rsidRDefault="00A473CC" w:rsidP="008969E4">
            <w:pPr>
              <w:pStyle w:val="SOTableText"/>
              <w:jc w:val="center"/>
            </w:pPr>
            <w:r>
              <w:t>1, 2</w:t>
            </w:r>
          </w:p>
        </w:tc>
        <w:tc>
          <w:tcPr>
            <w:tcW w:w="850" w:type="dxa"/>
            <w:shd w:val="clear" w:color="auto" w:fill="auto"/>
            <w:vAlign w:val="center"/>
          </w:tcPr>
          <w:p w:rsidR="00470B25" w:rsidRPr="002B31F8" w:rsidRDefault="00A473CC" w:rsidP="008969E4">
            <w:pPr>
              <w:pStyle w:val="SOTableText"/>
              <w:jc w:val="center"/>
            </w:pPr>
            <w:r>
              <w:t>1, 2</w:t>
            </w:r>
          </w:p>
        </w:tc>
        <w:tc>
          <w:tcPr>
            <w:tcW w:w="3283" w:type="dxa"/>
            <w:shd w:val="clear" w:color="auto" w:fill="auto"/>
            <w:vAlign w:val="center"/>
          </w:tcPr>
          <w:p w:rsidR="00A473CC" w:rsidRDefault="00A473CC" w:rsidP="008969E4">
            <w:pPr>
              <w:pStyle w:val="SOTableText"/>
            </w:pPr>
            <w:r>
              <w:t>2-hour examination</w:t>
            </w:r>
            <w:r w:rsidR="00037A08">
              <w:t>.</w:t>
            </w:r>
          </w:p>
          <w:p w:rsidR="00037A08" w:rsidRDefault="00037A08" w:rsidP="00037A08">
            <w:pPr>
              <w:pStyle w:val="SOTableText"/>
              <w:rPr>
                <w:u w:val="single"/>
              </w:rPr>
            </w:pPr>
            <w:r w:rsidRPr="00037A08">
              <w:rPr>
                <w:u w:val="single"/>
              </w:rPr>
              <w:t>Section 1: Application of Accounting Skills</w:t>
            </w:r>
          </w:p>
          <w:p w:rsidR="00037A08" w:rsidRPr="00037A08" w:rsidRDefault="00037A08" w:rsidP="00037A08">
            <w:pPr>
              <w:pStyle w:val="SOTableText"/>
              <w:rPr>
                <w:u w:val="single"/>
              </w:rPr>
            </w:pPr>
            <w:r w:rsidRPr="00037A08">
              <w:t>Students answer a range of problem-based or scenario-based questions, integrating accounting knowledge, skills, application, analysis and interpretation involved in accounting practice.</w:t>
            </w:r>
          </w:p>
          <w:p w:rsidR="00037A08" w:rsidRDefault="00037A08" w:rsidP="00037A08">
            <w:pPr>
              <w:pStyle w:val="SOTableText"/>
            </w:pPr>
            <w:r w:rsidRPr="00A5627E">
              <w:t>Problem-based or scenario-based questions focus on Understanding Accounting Concepts and Conventions and Managing Financial Sustainability</w:t>
            </w:r>
          </w:p>
          <w:p w:rsidR="00037A08" w:rsidRDefault="00037A08" w:rsidP="008969E4">
            <w:pPr>
              <w:pStyle w:val="SOTableText"/>
            </w:pPr>
          </w:p>
          <w:p w:rsidR="001F0B92" w:rsidRDefault="00037A08" w:rsidP="001F0B92">
            <w:pPr>
              <w:pStyle w:val="SOTableText"/>
              <w:rPr>
                <w:u w:val="single"/>
              </w:rPr>
            </w:pPr>
            <w:r w:rsidRPr="00037A08">
              <w:rPr>
                <w:u w:val="single"/>
              </w:rPr>
              <w:t>Section 2: Accounting for decision-making</w:t>
            </w:r>
          </w:p>
          <w:p w:rsidR="00037A08" w:rsidRPr="001F0B92" w:rsidRDefault="00037A08" w:rsidP="001F0B92">
            <w:pPr>
              <w:pStyle w:val="SOTableText"/>
              <w:rPr>
                <w:u w:val="single"/>
              </w:rPr>
            </w:pPr>
            <w:r w:rsidRPr="00037A08">
              <w:t>Students use the skills of accounting inquiry to evaluate and respond to a business issue through the analysis of source material. They analyse, evaluate, and synthesise information to provide accounting advice, considering different stakeholder perspectives. Advice may be provided in dot point form.</w:t>
            </w:r>
          </w:p>
          <w:p w:rsidR="00A473CC" w:rsidRPr="002B31F8" w:rsidRDefault="00037A08" w:rsidP="00037A08">
            <w:pPr>
              <w:pStyle w:val="SOTableText"/>
            </w:pPr>
            <w:r w:rsidRPr="00A5627E">
              <w:t xml:space="preserve">Content is based on </w:t>
            </w:r>
            <w:r>
              <w:t xml:space="preserve">the </w:t>
            </w:r>
            <w:r w:rsidRPr="00A5627E">
              <w:t>Providing Accounting Advice</w:t>
            </w:r>
            <w:r>
              <w:t xml:space="preserve"> context</w:t>
            </w:r>
          </w:p>
        </w:tc>
        <w:bookmarkStart w:id="0" w:name="_GoBack"/>
        <w:bookmarkEnd w:id="0"/>
      </w:tr>
    </w:tbl>
    <w:p w:rsidR="00AD3260" w:rsidRPr="002B31F8" w:rsidRDefault="002B31F8" w:rsidP="00AD3260">
      <w:pPr>
        <w:spacing w:before="240"/>
        <w:rPr>
          <w:szCs w:val="20"/>
          <w:lang w:val="en-US"/>
        </w:rPr>
      </w:pPr>
      <w:r>
        <w:rPr>
          <w:i/>
        </w:rPr>
        <w:t>Six</w:t>
      </w:r>
      <w:r w:rsidR="00470B25" w:rsidRPr="002B31F8">
        <w:rPr>
          <w:i/>
        </w:rPr>
        <w:t xml:space="preserve"> assessments. </w:t>
      </w:r>
      <w:r w:rsidR="00AD3260" w:rsidRPr="002B31F8">
        <w:rPr>
          <w:i/>
        </w:rPr>
        <w:t xml:space="preserve">Please refer to the </w:t>
      </w:r>
      <w:r w:rsidR="00470B25" w:rsidRPr="002B31F8">
        <w:rPr>
          <w:i/>
        </w:rPr>
        <w:t>Stage 2</w:t>
      </w:r>
      <w:r w:rsidR="00AD3260" w:rsidRPr="002B31F8">
        <w:rPr>
          <w:i/>
        </w:rPr>
        <w:t xml:space="preserve"> </w:t>
      </w:r>
      <w:r w:rsidRPr="002B31F8">
        <w:rPr>
          <w:i/>
        </w:rPr>
        <w:t>Accounting</w:t>
      </w:r>
      <w:r w:rsidR="00AD3260" w:rsidRPr="002B31F8">
        <w:rPr>
          <w:i/>
        </w:rPr>
        <w:t xml:space="preserve"> subject outline.</w:t>
      </w:r>
    </w:p>
    <w:sectPr w:rsidR="00AD3260" w:rsidRPr="002B31F8"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E3" w:rsidRDefault="00D400E3" w:rsidP="00483E68">
      <w:r>
        <w:separator/>
      </w:r>
    </w:p>
  </w:endnote>
  <w:endnote w:type="continuationSeparator" w:id="0">
    <w:p w:rsidR="00D400E3" w:rsidRDefault="00D400E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7EF9FCF5-DB08-4F54-8F5F-BE76EC4809BF}"/>
    <w:embedBold r:id="rId2" w:fontKey="{6894C06E-FA28-450D-BD24-2524F5485C72}"/>
    <w:embedItalic r:id="rId3" w:fontKey="{F5A88166-7636-4902-BF88-892297E99B8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635A01A5-0F36-4924-AB8C-C1E5CAF1AA5B}"/>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subsetted="1" w:fontKey="{ED380794-A067-49C1-B870-F9CD85303249}"/>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38" w:rsidRDefault="00A03C43" w:rsidP="00CC7338">
    <w:pPr>
      <w:pStyle w:val="LAPFooter"/>
      <w:tabs>
        <w:tab w:val="left" w:pos="6804"/>
      </w:tabs>
    </w:pPr>
    <w:r>
      <w:rPr>
        <w:noProof/>
        <w:lang w:val="en-AU"/>
      </w:rPr>
      <w:drawing>
        <wp:anchor distT="0" distB="0" distL="114300" distR="114300" simplePos="0" relativeHeight="251662848" behindDoc="1" locked="0" layoutInCell="1" allowOverlap="1" wp14:anchorId="600CEDD0" wp14:editId="6B0C1B54">
          <wp:simplePos x="0" y="0"/>
          <wp:positionH relativeFrom="column">
            <wp:posOffset>4733290</wp:posOffset>
          </wp:positionH>
          <wp:positionV relativeFrom="paragraph">
            <wp:posOffset>-132080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680" behindDoc="0" locked="0" layoutInCell="1" allowOverlap="1" wp14:anchorId="4A814C64" wp14:editId="5D5C814D">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CC7338">
      <w:tab/>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CC733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CC7338">
      <w:rPr>
        <w:noProof/>
      </w:rPr>
      <w:t>3</w:t>
    </w:r>
    <w:r w:rsidR="009B7824" w:rsidRPr="00D128A8">
      <w:fldChar w:fldCharType="end"/>
    </w:r>
    <w:r w:rsidR="00AA2A89" w:rsidRPr="00AA2A89">
      <w:rPr>
        <w:b/>
        <w:color w:val="FF0000"/>
        <w:sz w:val="22"/>
      </w:rPr>
      <w:tab/>
    </w:r>
    <w:r w:rsidR="00AA2A89">
      <w:tab/>
    </w:r>
    <w:r w:rsidR="00693A24">
      <w:br/>
    </w:r>
  </w:p>
  <w:p w:rsidR="006225BE" w:rsidRDefault="00470B25" w:rsidP="00111A42">
    <w:pPr>
      <w:pStyle w:val="LAPFooter"/>
    </w:pPr>
    <w:r w:rsidRPr="00A03C43">
      <w:t xml:space="preserve">Stage 2 </w:t>
    </w:r>
    <w:r w:rsidR="00A03C43" w:rsidRPr="00A03C43">
      <w:t>Accounting – pre-approved LAP-01 (for use in 2020)</w:t>
    </w:r>
    <w:r w:rsidR="00111A42" w:rsidRPr="00A03C43">
      <w:br/>
    </w:r>
    <w:r w:rsidR="00693A24" w:rsidRPr="00AD3BD3">
      <w:t xml:space="preserve">Ref: </w:t>
    </w:r>
    <w:r w:rsidR="00693A24" w:rsidRPr="00B97EA5">
      <w:t xml:space="preserve">A468011 </w:t>
    </w:r>
    <w:r w:rsidR="00693A24" w:rsidRPr="00AD3BD3">
      <w:t>(</w:t>
    </w:r>
    <w:r w:rsidR="00693A24">
      <w:t xml:space="preserve">created </w:t>
    </w:r>
    <w:r w:rsidR="00CC7338">
      <w:t>June</w:t>
    </w:r>
    <w:r w:rsidR="00A03C43">
      <w:t xml:space="preserve"> 2018</w:t>
    </w:r>
    <w:r w:rsidR="00693A24">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38" w:rsidRDefault="007B08EB" w:rsidP="00CC7338">
    <w:pPr>
      <w:pStyle w:val="LAPFooter"/>
      <w:tabs>
        <w:tab w:val="clear" w:pos="9639"/>
        <w:tab w:val="clear" w:pos="14742"/>
        <w:tab w:val="right" w:pos="15168"/>
      </w:tabs>
      <w:spacing w:before="120"/>
      <w:jc w:val="right"/>
    </w:pPr>
    <w:r>
      <w:rPr>
        <w:noProof/>
        <w:lang w:val="en-AU"/>
      </w:rPr>
      <w:drawing>
        <wp:anchor distT="0" distB="0" distL="114300" distR="114300" simplePos="0" relativeHeight="251658752" behindDoc="0" locked="0" layoutInCell="1" allowOverlap="1" wp14:anchorId="19D55767" wp14:editId="2886C15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C733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C7338">
      <w:rPr>
        <w:noProof/>
      </w:rPr>
      <w:t>3</w:t>
    </w:r>
    <w:r w:rsidRPr="00D128A8">
      <w:fldChar w:fldCharType="end"/>
    </w:r>
    <w:r w:rsidR="00052178">
      <w:t xml:space="preserve"> </w:t>
    </w:r>
  </w:p>
  <w:p w:rsidR="00FF5B14" w:rsidRPr="007B08EB" w:rsidRDefault="00AA2A89" w:rsidP="007B08EB">
    <w:pPr>
      <w:pStyle w:val="LAPFooter"/>
      <w:tabs>
        <w:tab w:val="clear" w:pos="9639"/>
        <w:tab w:val="clear" w:pos="14742"/>
        <w:tab w:val="right" w:pos="15168"/>
      </w:tabs>
      <w:spacing w:before="120"/>
    </w:pPr>
    <w:r>
      <w:tab/>
    </w:r>
    <w:r>
      <w:tab/>
    </w:r>
    <w:r>
      <w:tab/>
    </w:r>
    <w:r>
      <w:tab/>
    </w:r>
    <w:r w:rsidR="007B08EB">
      <w:br/>
    </w:r>
    <w:r w:rsidR="00470B25">
      <w:t xml:space="preserve">Stage 2 </w:t>
    </w:r>
    <w:r w:rsidR="00A03C43">
      <w:t xml:space="preserve">Accounting </w:t>
    </w:r>
    <w:r w:rsidR="00111A42">
      <w:t xml:space="preserve">– pre-approved LAP-1 </w:t>
    </w:r>
    <w:r w:rsidR="00A03C43">
      <w:t xml:space="preserve"> (for use in 2020)</w:t>
    </w:r>
    <w:r w:rsidR="00111A42">
      <w:br/>
    </w:r>
    <w:r w:rsidR="00111A42" w:rsidRPr="00AD3BD3">
      <w:t xml:space="preserve">Ref: </w:t>
    </w:r>
    <w:r w:rsidR="00111A42" w:rsidRPr="00B97EA5">
      <w:t xml:space="preserve">A468011 </w:t>
    </w:r>
    <w:r w:rsidR="00111A42" w:rsidRPr="00AD3BD3">
      <w:t>(</w:t>
    </w:r>
    <w:r w:rsidR="00111A42">
      <w:t xml:space="preserve">created </w:t>
    </w:r>
    <w:r w:rsidR="00CC7338">
      <w:t>June</w:t>
    </w:r>
    <w:r w:rsidR="00A03C43">
      <w:t xml:space="preserve"> 2018</w:t>
    </w:r>
    <w:r w:rsidR="00111A42">
      <w:t xml:space="preserve">) </w:t>
    </w:r>
    <w:r w:rsidR="00111A42" w:rsidRPr="00AD3BD3">
      <w:t>© SACE Board of South</w:t>
    </w:r>
    <w:r w:rsidR="00111A42">
      <w:t xml:space="preserve"> </w:t>
    </w:r>
    <w:r w:rsidR="00111A42" w:rsidRPr="00111A42">
      <w:t>Australia</w:t>
    </w:r>
    <w:r w:rsidR="00111A42">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E3" w:rsidRDefault="00D400E3" w:rsidP="00483E68">
      <w:r>
        <w:separator/>
      </w:r>
    </w:p>
  </w:footnote>
  <w:footnote w:type="continuationSeparator" w:id="0">
    <w:p w:rsidR="00D400E3" w:rsidRDefault="00D400E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A03C43">
    <w:pPr>
      <w:pStyle w:val="Header"/>
    </w:pPr>
    <w:r>
      <w:rPr>
        <w:noProof/>
        <w:lang w:eastAsia="en-AU"/>
      </w:rPr>
      <w:drawing>
        <wp:anchor distT="0" distB="0" distL="114300" distR="114300" simplePos="0" relativeHeight="251665920" behindDoc="1" locked="0" layoutInCell="1" allowOverlap="1" wp14:anchorId="2CDD65D8" wp14:editId="4498E077">
          <wp:simplePos x="0" y="0"/>
          <wp:positionH relativeFrom="column">
            <wp:posOffset>-941070</wp:posOffset>
          </wp:positionH>
          <wp:positionV relativeFrom="paragraph">
            <wp:posOffset>-334010</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7161F9"/>
    <w:multiLevelType w:val="hybridMultilevel"/>
    <w:tmpl w:val="B3DE0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AE0E2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562F1289"/>
    <w:multiLevelType w:val="hybridMultilevel"/>
    <w:tmpl w:val="926CDB8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7"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97"/>
    <w:rsid w:val="0000356C"/>
    <w:rsid w:val="00007E9F"/>
    <w:rsid w:val="000201DA"/>
    <w:rsid w:val="00022AFE"/>
    <w:rsid w:val="00023281"/>
    <w:rsid w:val="00027283"/>
    <w:rsid w:val="00030998"/>
    <w:rsid w:val="0003787E"/>
    <w:rsid w:val="00037A08"/>
    <w:rsid w:val="00044616"/>
    <w:rsid w:val="00046C68"/>
    <w:rsid w:val="0005050D"/>
    <w:rsid w:val="0005077B"/>
    <w:rsid w:val="0005109C"/>
    <w:rsid w:val="000519E4"/>
    <w:rsid w:val="00052178"/>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35A58"/>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F0B92"/>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0B49"/>
    <w:rsid w:val="002938F8"/>
    <w:rsid w:val="00294972"/>
    <w:rsid w:val="002A0847"/>
    <w:rsid w:val="002B0D95"/>
    <w:rsid w:val="002B31F8"/>
    <w:rsid w:val="002B395F"/>
    <w:rsid w:val="002D0D3E"/>
    <w:rsid w:val="002D157F"/>
    <w:rsid w:val="002D50D4"/>
    <w:rsid w:val="002D525F"/>
    <w:rsid w:val="002D5274"/>
    <w:rsid w:val="002F39F5"/>
    <w:rsid w:val="002F4306"/>
    <w:rsid w:val="002F67A7"/>
    <w:rsid w:val="00301B3C"/>
    <w:rsid w:val="00306E61"/>
    <w:rsid w:val="003148EC"/>
    <w:rsid w:val="00314997"/>
    <w:rsid w:val="0032615B"/>
    <w:rsid w:val="0032749B"/>
    <w:rsid w:val="00331F17"/>
    <w:rsid w:val="0033456B"/>
    <w:rsid w:val="003360A3"/>
    <w:rsid w:val="00342C6D"/>
    <w:rsid w:val="003432DA"/>
    <w:rsid w:val="00346026"/>
    <w:rsid w:val="0035263D"/>
    <w:rsid w:val="00384CE6"/>
    <w:rsid w:val="00384F72"/>
    <w:rsid w:val="003859A5"/>
    <w:rsid w:val="00385FF9"/>
    <w:rsid w:val="00387DA6"/>
    <w:rsid w:val="00394BDD"/>
    <w:rsid w:val="00395D68"/>
    <w:rsid w:val="00395EED"/>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2C5D"/>
    <w:rsid w:val="00466BB8"/>
    <w:rsid w:val="00470B25"/>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D4FE1"/>
    <w:rsid w:val="004E726B"/>
    <w:rsid w:val="004F2A23"/>
    <w:rsid w:val="004F2E5B"/>
    <w:rsid w:val="004F65A3"/>
    <w:rsid w:val="00503FC5"/>
    <w:rsid w:val="0051199D"/>
    <w:rsid w:val="00515F2F"/>
    <w:rsid w:val="0051678F"/>
    <w:rsid w:val="00524A91"/>
    <w:rsid w:val="0053018A"/>
    <w:rsid w:val="00533C9E"/>
    <w:rsid w:val="00533D87"/>
    <w:rsid w:val="005426A0"/>
    <w:rsid w:val="00552441"/>
    <w:rsid w:val="005704DE"/>
    <w:rsid w:val="00571936"/>
    <w:rsid w:val="0057214A"/>
    <w:rsid w:val="00574340"/>
    <w:rsid w:val="0057538D"/>
    <w:rsid w:val="00580F10"/>
    <w:rsid w:val="00581D7F"/>
    <w:rsid w:val="00583D4E"/>
    <w:rsid w:val="005A1FBE"/>
    <w:rsid w:val="005A5B13"/>
    <w:rsid w:val="005A7B2B"/>
    <w:rsid w:val="005B24A2"/>
    <w:rsid w:val="005B2D29"/>
    <w:rsid w:val="005D1617"/>
    <w:rsid w:val="005D6C10"/>
    <w:rsid w:val="005D6C38"/>
    <w:rsid w:val="005E0001"/>
    <w:rsid w:val="00611E40"/>
    <w:rsid w:val="00613A3E"/>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5D6A"/>
    <w:rsid w:val="0083689B"/>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82923"/>
    <w:rsid w:val="00994DDE"/>
    <w:rsid w:val="00996C3C"/>
    <w:rsid w:val="0099796F"/>
    <w:rsid w:val="009A7D3D"/>
    <w:rsid w:val="009B27B1"/>
    <w:rsid w:val="009B7824"/>
    <w:rsid w:val="009C6CC2"/>
    <w:rsid w:val="009D4DB6"/>
    <w:rsid w:val="009D6855"/>
    <w:rsid w:val="009E3631"/>
    <w:rsid w:val="009E39B2"/>
    <w:rsid w:val="009F6B1A"/>
    <w:rsid w:val="00A032A4"/>
    <w:rsid w:val="00A03C43"/>
    <w:rsid w:val="00A15D02"/>
    <w:rsid w:val="00A23DE3"/>
    <w:rsid w:val="00A33E47"/>
    <w:rsid w:val="00A34E09"/>
    <w:rsid w:val="00A370F5"/>
    <w:rsid w:val="00A41838"/>
    <w:rsid w:val="00A440AC"/>
    <w:rsid w:val="00A44DC9"/>
    <w:rsid w:val="00A455B2"/>
    <w:rsid w:val="00A473CC"/>
    <w:rsid w:val="00A52537"/>
    <w:rsid w:val="00A54E10"/>
    <w:rsid w:val="00A573ED"/>
    <w:rsid w:val="00A6424E"/>
    <w:rsid w:val="00A65B3B"/>
    <w:rsid w:val="00A81D0E"/>
    <w:rsid w:val="00A82B69"/>
    <w:rsid w:val="00A862E5"/>
    <w:rsid w:val="00A86656"/>
    <w:rsid w:val="00A94F14"/>
    <w:rsid w:val="00A95A04"/>
    <w:rsid w:val="00AA2A89"/>
    <w:rsid w:val="00AA5255"/>
    <w:rsid w:val="00AA6028"/>
    <w:rsid w:val="00AB1AD6"/>
    <w:rsid w:val="00AB4CB8"/>
    <w:rsid w:val="00AB5B62"/>
    <w:rsid w:val="00AD3260"/>
    <w:rsid w:val="00AD4581"/>
    <w:rsid w:val="00AD69EC"/>
    <w:rsid w:val="00AE4323"/>
    <w:rsid w:val="00AE75C3"/>
    <w:rsid w:val="00AF2A2A"/>
    <w:rsid w:val="00AF5EA0"/>
    <w:rsid w:val="00B007B0"/>
    <w:rsid w:val="00B052A5"/>
    <w:rsid w:val="00B05838"/>
    <w:rsid w:val="00B17235"/>
    <w:rsid w:val="00B33260"/>
    <w:rsid w:val="00B34F12"/>
    <w:rsid w:val="00B35FD0"/>
    <w:rsid w:val="00B45F4B"/>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4820"/>
    <w:rsid w:val="00BE7279"/>
    <w:rsid w:val="00BE7FB8"/>
    <w:rsid w:val="00BF3E3C"/>
    <w:rsid w:val="00BF4C6B"/>
    <w:rsid w:val="00C13E31"/>
    <w:rsid w:val="00C317FF"/>
    <w:rsid w:val="00C37C82"/>
    <w:rsid w:val="00C450CD"/>
    <w:rsid w:val="00C5241C"/>
    <w:rsid w:val="00C62821"/>
    <w:rsid w:val="00C640C8"/>
    <w:rsid w:val="00C64500"/>
    <w:rsid w:val="00C8060C"/>
    <w:rsid w:val="00C8436F"/>
    <w:rsid w:val="00C855F8"/>
    <w:rsid w:val="00C93FC5"/>
    <w:rsid w:val="00C96A2C"/>
    <w:rsid w:val="00CB7370"/>
    <w:rsid w:val="00CC1651"/>
    <w:rsid w:val="00CC7338"/>
    <w:rsid w:val="00CC7509"/>
    <w:rsid w:val="00CD2FBB"/>
    <w:rsid w:val="00CD5A41"/>
    <w:rsid w:val="00CE136D"/>
    <w:rsid w:val="00CF39CB"/>
    <w:rsid w:val="00D00AB6"/>
    <w:rsid w:val="00D0265D"/>
    <w:rsid w:val="00D06174"/>
    <w:rsid w:val="00D0655C"/>
    <w:rsid w:val="00D15FCD"/>
    <w:rsid w:val="00D21703"/>
    <w:rsid w:val="00D400E3"/>
    <w:rsid w:val="00D46337"/>
    <w:rsid w:val="00D50063"/>
    <w:rsid w:val="00D572F7"/>
    <w:rsid w:val="00D603D6"/>
    <w:rsid w:val="00D63C2E"/>
    <w:rsid w:val="00D772AA"/>
    <w:rsid w:val="00D86722"/>
    <w:rsid w:val="00D95BC6"/>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E4903"/>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61513"/>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46983"/>
    <w:rsid w:val="00F67E4D"/>
    <w:rsid w:val="00F8083E"/>
    <w:rsid w:val="00F90C04"/>
    <w:rsid w:val="00F96156"/>
    <w:rsid w:val="00FA54D1"/>
    <w:rsid w:val="00FA598E"/>
    <w:rsid w:val="00FB072F"/>
    <w:rsid w:val="00FB10C1"/>
    <w:rsid w:val="00FB2082"/>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CB418"/>
  <w15:docId w15:val="{14F84072-F753-40B0-9600-6433A79F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numPr>
        <w:numId w:val="8"/>
      </w:numPr>
      <w:spacing w:before="240"/>
      <w:outlineLvl w:val="0"/>
    </w:pPr>
    <w:rPr>
      <w:rFonts w:eastAsiaTheme="majorEastAsia" w:cstheme="majorBidi"/>
      <w:bCs/>
      <w:sz w:val="32"/>
      <w:szCs w:val="28"/>
    </w:rPr>
  </w:style>
  <w:style w:type="paragraph" w:styleId="Heading2">
    <w:name w:val="heading 2"/>
    <w:basedOn w:val="Normal"/>
    <w:next w:val="Normal"/>
    <w:link w:val="Heading2Char"/>
    <w:semiHidden/>
    <w:unhideWhenUsed/>
    <w:qFormat/>
    <w:rsid w:val="004D4FE1"/>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D4FE1"/>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4FE1"/>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D4FE1"/>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D4FE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D4FE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D4FE1"/>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D4FE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uiPriority w:val="99"/>
    <w:rsid w:val="00483E68"/>
    <w:pPr>
      <w:tabs>
        <w:tab w:val="center" w:pos="4513"/>
        <w:tab w:val="right" w:pos="9026"/>
      </w:tabs>
    </w:pPr>
  </w:style>
  <w:style w:type="character" w:customStyle="1" w:styleId="FooterChar">
    <w:name w:val="Footer Char"/>
    <w:aliases w:val="footnote Char"/>
    <w:basedOn w:val="DefaultParagraphFont"/>
    <w:link w:val="Footer"/>
    <w:uiPriority w:val="99"/>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autoRedefine/>
    <w:qFormat/>
    <w:rsid w:val="004D4FE1"/>
    <w:pPr>
      <w:spacing w:before="240" w:after="60"/>
    </w:pPr>
    <w:rPr>
      <w:rFonts w:ascii="Arial" w:hAnsi="Arial" w:cs="Arial"/>
      <w:color w:val="000000"/>
      <w:sz w:val="22"/>
      <w:szCs w:val="22"/>
      <w:lang w:val="en-US" w:eastAsia="en-US"/>
    </w:rPr>
  </w:style>
  <w:style w:type="character" w:customStyle="1" w:styleId="SOFinalBodyTextCharChar">
    <w:name w:val="SO Final Body Text Char Char"/>
    <w:link w:val="SOFinalBodyText"/>
    <w:rsid w:val="004D4FE1"/>
    <w:rPr>
      <w:rFonts w:ascii="Arial" w:hAnsi="Arial" w:cs="Arial"/>
      <w:color w:val="000000"/>
      <w:sz w:val="22"/>
      <w:szCs w:val="22"/>
      <w:lang w:val="en-US" w:eastAsia="en-US"/>
    </w:rPr>
  </w:style>
  <w:style w:type="character" w:customStyle="1" w:styleId="Heading2Char">
    <w:name w:val="Heading 2 Char"/>
    <w:basedOn w:val="DefaultParagraphFont"/>
    <w:link w:val="Heading2"/>
    <w:semiHidden/>
    <w:rsid w:val="004D4FE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D4FE1"/>
    <w:rPr>
      <w:rFonts w:asciiTheme="majorHAnsi" w:eastAsiaTheme="majorEastAsia" w:hAnsiTheme="majorHAnsi" w:cstheme="majorBidi"/>
      <w:b/>
      <w:bCs/>
      <w:color w:val="4F81BD" w:themeColor="accent1"/>
      <w:szCs w:val="22"/>
      <w:lang w:eastAsia="en-US"/>
    </w:rPr>
  </w:style>
  <w:style w:type="character" w:customStyle="1" w:styleId="Heading4Char">
    <w:name w:val="Heading 4 Char"/>
    <w:basedOn w:val="DefaultParagraphFont"/>
    <w:link w:val="Heading4"/>
    <w:semiHidden/>
    <w:rsid w:val="004D4FE1"/>
    <w:rPr>
      <w:rFonts w:asciiTheme="majorHAnsi" w:eastAsiaTheme="majorEastAsia" w:hAnsiTheme="majorHAnsi" w:cstheme="majorBidi"/>
      <w:b/>
      <w:bCs/>
      <w:i/>
      <w:iCs/>
      <w:color w:val="4F81BD" w:themeColor="accent1"/>
      <w:szCs w:val="22"/>
      <w:lang w:eastAsia="en-US"/>
    </w:rPr>
  </w:style>
  <w:style w:type="character" w:customStyle="1" w:styleId="Heading5Char">
    <w:name w:val="Heading 5 Char"/>
    <w:basedOn w:val="DefaultParagraphFont"/>
    <w:link w:val="Heading5"/>
    <w:semiHidden/>
    <w:rsid w:val="004D4FE1"/>
    <w:rPr>
      <w:rFonts w:asciiTheme="majorHAnsi" w:eastAsiaTheme="majorEastAsia" w:hAnsiTheme="majorHAnsi" w:cstheme="majorBidi"/>
      <w:color w:val="243F60" w:themeColor="accent1" w:themeShade="7F"/>
      <w:szCs w:val="22"/>
      <w:lang w:eastAsia="en-US"/>
    </w:rPr>
  </w:style>
  <w:style w:type="character" w:customStyle="1" w:styleId="Heading6Char">
    <w:name w:val="Heading 6 Char"/>
    <w:basedOn w:val="DefaultParagraphFont"/>
    <w:link w:val="Heading6"/>
    <w:semiHidden/>
    <w:rsid w:val="004D4FE1"/>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semiHidden/>
    <w:rsid w:val="004D4FE1"/>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semiHidden/>
    <w:rsid w:val="004D4FE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D4FE1"/>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rsid w:val="004D4FE1"/>
    <w:pPr>
      <w:numPr>
        <w:numId w:val="8"/>
      </w:numPr>
    </w:pPr>
  </w:style>
  <w:style w:type="character" w:styleId="CommentReference">
    <w:name w:val="annotation reference"/>
    <w:basedOn w:val="DefaultParagraphFont"/>
    <w:rsid w:val="004D4FE1"/>
    <w:rPr>
      <w:sz w:val="16"/>
      <w:szCs w:val="16"/>
    </w:rPr>
  </w:style>
  <w:style w:type="paragraph" w:styleId="CommentText">
    <w:name w:val="annotation text"/>
    <w:basedOn w:val="Normal"/>
    <w:link w:val="CommentTextChar"/>
    <w:rsid w:val="004D4FE1"/>
    <w:pPr>
      <w:spacing w:after="0"/>
    </w:pPr>
    <w:rPr>
      <w:rFonts w:ascii="Arial" w:eastAsia="Times New Roman" w:hAnsi="Arial" w:cs="Times New Roman"/>
      <w:szCs w:val="20"/>
    </w:rPr>
  </w:style>
  <w:style w:type="character" w:customStyle="1" w:styleId="CommentTextChar">
    <w:name w:val="Comment Text Char"/>
    <w:basedOn w:val="DefaultParagraphFont"/>
    <w:link w:val="CommentText"/>
    <w:rsid w:val="004D4FE1"/>
    <w:rPr>
      <w:rFonts w:ascii="Arial" w:hAnsi="Arial"/>
      <w:lang w:eastAsia="en-US"/>
    </w:rPr>
  </w:style>
  <w:style w:type="paragraph" w:styleId="CommentSubject">
    <w:name w:val="annotation subject"/>
    <w:basedOn w:val="CommentText"/>
    <w:next w:val="CommentText"/>
    <w:link w:val="CommentSubjectChar"/>
    <w:semiHidden/>
    <w:unhideWhenUsed/>
    <w:rsid w:val="004D4FE1"/>
    <w:pPr>
      <w:spacing w:after="120"/>
    </w:pPr>
    <w:rPr>
      <w:rFonts w:ascii="Roboto Light" w:eastAsiaTheme="minorHAnsi" w:hAnsi="Roboto Light" w:cstheme="minorBidi"/>
      <w:b/>
      <w:bCs/>
    </w:rPr>
  </w:style>
  <w:style w:type="character" w:customStyle="1" w:styleId="CommentSubjectChar">
    <w:name w:val="Comment Subject Char"/>
    <w:basedOn w:val="CommentTextChar"/>
    <w:link w:val="CommentSubject"/>
    <w:semiHidden/>
    <w:rsid w:val="004D4FE1"/>
    <w:rPr>
      <w:rFonts w:ascii="Roboto Light" w:eastAsiaTheme="minorHAnsi" w:hAnsi="Roboto Light"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c35929823aa42d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A736756</value>
    </field>
    <field name="Objective-Title">
      <value order="0">Stage 2 Accounting - pre-approved LAP - for consultation</value>
    </field>
    <field name="Objective-Description">
      <value order="0"/>
    </field>
    <field name="Objective-CreationStamp">
      <value order="0">2018-06-07T02:36:35Z</value>
    </field>
    <field name="Objective-IsApproved">
      <value order="0">false</value>
    </field>
    <field name="Objective-IsPublished">
      <value order="0">true</value>
    </field>
    <field name="Objective-DatePublished">
      <value order="0">2018-06-08T02:49:57Z</value>
    </field>
    <field name="Objective-ModificationStamp">
      <value order="0">2018-06-08T02:49:57Z</value>
    </field>
    <field name="Objective-Owner">
      <value order="0">Eliza Saito</value>
    </field>
    <field name="Objective-Path">
      <value order="0">Objective Global Folder:Curriculum:Subject renewal:Business, Enterprise and Technology:Accounting Renewal 2017-18:Accounting Consultation Support Materials</value>
    </field>
    <field name="Objective-Parent">
      <value order="0">Accounting Consultation Support Materials</value>
    </field>
    <field name="Objective-State">
      <value order="0">Published</value>
    </field>
    <field name="Objective-VersionId">
      <value order="0">vA1291565</value>
    </field>
    <field name="Objective-Version">
      <value order="0">2.0</value>
    </field>
    <field name="Objective-VersionNumber">
      <value order="0">3</value>
    </field>
    <field name="Objective-VersionComment">
      <value order="0"/>
    </field>
    <field name="Objective-FileNumber">
      <value order="0">qA5725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B35D64AE-F34A-45A5-9584-BE40813A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11</cp:revision>
  <cp:lastPrinted>2018-06-07T23:34:00Z</cp:lastPrinted>
  <dcterms:created xsi:type="dcterms:W3CDTF">2018-06-01T06:38:00Z</dcterms:created>
  <dcterms:modified xsi:type="dcterms:W3CDTF">2018-06-08T02:49:00Z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A736756</vt:lpwstr>
  </property>
  <property fmtid="{D5CDD505-2E9C-101B-9397-08002B2CF9AE}" pid="4" name="Objective-Title">
    <vt:lpwstr>Stage 2 Accounting - pre-approved LAP - for consultation</vt:lpwstr>
  </property>
  <property fmtid="{D5CDD505-2E9C-101B-9397-08002B2CF9AE}" pid="5" name="Objective-Comment">
    <vt:lpwstr/>
  </property>
  <property fmtid="{D5CDD505-2E9C-101B-9397-08002B2CF9AE}" pid="6" name="Objective-CreationStamp">
    <vt:filetime>2018-06-07T02:36:35Z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2018-06-08T02:49:57Z</vt:filetime>
  </property>
  <property fmtid="{D5CDD505-2E9C-101B-9397-08002B2CF9AE}" pid="10" name="Objective-ModificationStamp">
    <vt:filetime>2018-06-08T02:49:57Z</vt:filetime>
  </property>
  <property fmtid="{D5CDD505-2E9C-101B-9397-08002B2CF9AE}" pid="11" name="Objective-Owner">
    <vt:lpwstr>Eliza Saito</vt:lpwstr>
  </property>
  <property fmtid="{D5CDD505-2E9C-101B-9397-08002B2CF9AE}" pid="12" name="Objective-Path">
    <vt:lpwstr>Objective Global Folder:Curriculum:Subject renewal:Business, Enterprise and Technology:Accounting Renewal 2017-18:Accounting Consultation Support Materials</vt:lpwstr>
  </property>
  <property fmtid="{D5CDD505-2E9C-101B-9397-08002B2CF9AE}" pid="13" name="Objective-Parent">
    <vt:lpwstr>Accounting Consultation Support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qA5725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vA1291565</vt:lpwstr>
  </property>
</Properties>
</file>