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23" w:rsidRDefault="001A0F23" w:rsidP="001A0F23">
      <w:pPr>
        <w:pStyle w:val="BodyText1"/>
      </w:pPr>
      <w:r>
        <w:rPr>
          <w:noProof/>
          <w:lang w:eastAsia="en-AU"/>
        </w:rPr>
        <w:drawing>
          <wp:inline distT="0" distB="0" distL="0" distR="0" wp14:anchorId="3DCC7167" wp14:editId="67275A27">
            <wp:extent cx="2263775" cy="802640"/>
            <wp:effectExtent l="0" t="0" r="3175" b="0"/>
            <wp:docPr id="1" name="Picture 1" descr="SACEBoard_co-bran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CEBoard_co-brand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3775" cy="802640"/>
                    </a:xfrm>
                    <a:prstGeom prst="rect">
                      <a:avLst/>
                    </a:prstGeom>
                    <a:noFill/>
                    <a:ln>
                      <a:noFill/>
                    </a:ln>
                  </pic:spPr>
                </pic:pic>
              </a:graphicData>
            </a:graphic>
          </wp:inline>
        </w:drawing>
      </w:r>
    </w:p>
    <w:p w:rsidR="001A0F23" w:rsidRDefault="001A0F23" w:rsidP="001A0F23">
      <w:pPr>
        <w:pStyle w:val="BodyText1"/>
      </w:pPr>
    </w:p>
    <w:p w:rsidR="001A0F23" w:rsidRPr="0052489E" w:rsidRDefault="0052489E" w:rsidP="001A0F23">
      <w:pPr>
        <w:pStyle w:val="FrontPageHeading"/>
        <w:spacing w:before="4200"/>
      </w:pPr>
      <w:r>
        <w:t>Workplace Practices</w:t>
      </w:r>
    </w:p>
    <w:p w:rsidR="001A0F23" w:rsidRPr="00225FC5" w:rsidRDefault="001A0F23" w:rsidP="001A0F23">
      <w:pPr>
        <w:pStyle w:val="FrontPageSub-heading"/>
      </w:pPr>
      <w:r>
        <w:t>2014 Chief Assessor’s Report</w:t>
      </w:r>
    </w:p>
    <w:p w:rsidR="001A0F23" w:rsidRDefault="001A0F23" w:rsidP="001A0F23">
      <w:pPr>
        <w:pStyle w:val="BodyText1"/>
      </w:pPr>
    </w:p>
    <w:p w:rsidR="001A0F23" w:rsidRDefault="001A0F23" w:rsidP="001A0F23">
      <w:pPr>
        <w:pStyle w:val="BodyText1"/>
        <w:sectPr w:rsidR="001A0F23">
          <w:footerReference w:type="even" r:id="rId10"/>
          <w:footerReference w:type="default" r:id="rId11"/>
          <w:headerReference w:type="first" r:id="rId12"/>
          <w:pgSz w:w="11907" w:h="16840" w:code="9"/>
          <w:pgMar w:top="1440" w:right="1797" w:bottom="1440" w:left="1797" w:header="720" w:footer="720" w:gutter="0"/>
          <w:paperSrc w:first="1" w:other="1"/>
          <w:pgNumType w:start="1"/>
          <w:cols w:space="720"/>
          <w:titlePg/>
        </w:sectPr>
      </w:pPr>
    </w:p>
    <w:p w:rsidR="001A0F23" w:rsidRPr="00847D4F" w:rsidRDefault="00AD389A">
      <w:pPr>
        <w:pStyle w:val="Heading1"/>
        <w:rPr>
          <w:lang w:val="en-US"/>
        </w:rPr>
      </w:pPr>
      <w:r>
        <w:lastRenderedPageBreak/>
        <w:t>Workplace Practices</w:t>
      </w:r>
    </w:p>
    <w:p w:rsidR="00B1461F" w:rsidRDefault="00B1461F" w:rsidP="006047FB">
      <w:pPr>
        <w:pStyle w:val="Heading1"/>
      </w:pPr>
    </w:p>
    <w:p w:rsidR="001A0F23" w:rsidRDefault="001A0F23" w:rsidP="006047FB">
      <w:pPr>
        <w:pStyle w:val="Heading1"/>
      </w:pPr>
      <w:r>
        <w:t>201</w:t>
      </w:r>
      <w:r w:rsidR="00CD6252">
        <w:t>4</w:t>
      </w:r>
      <w:r>
        <w:t xml:space="preserve"> </w:t>
      </w:r>
      <w:r w:rsidR="00B1461F">
        <w:t>Chief Assessor’s Report</w:t>
      </w:r>
    </w:p>
    <w:p w:rsidR="001A0F23" w:rsidRPr="00DF42D8" w:rsidRDefault="00532959">
      <w:pPr>
        <w:pStyle w:val="Heading2"/>
      </w:pPr>
      <w:r>
        <w:t>Overview</w:t>
      </w:r>
    </w:p>
    <w:p w:rsidR="001A0F23" w:rsidRDefault="001A0F23" w:rsidP="001A0F23">
      <w:pPr>
        <w:pStyle w:val="BodyText1"/>
      </w:pPr>
      <w:r w:rsidRPr="000C3880">
        <w:t xml:space="preserve">Chief Assessors’ </w:t>
      </w:r>
      <w:r w:rsidRPr="00012027">
        <w:t>reports give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the quality of student performance, and any relevant statistical information.</w:t>
      </w:r>
    </w:p>
    <w:p w:rsidR="002A573E" w:rsidRPr="00012027" w:rsidRDefault="002A573E" w:rsidP="007E748B">
      <w:pPr>
        <w:pStyle w:val="BodyText1"/>
      </w:pPr>
      <w:r>
        <w:t>In 2014</w:t>
      </w:r>
      <w:r w:rsidR="00BF497A">
        <w:t>,</w:t>
      </w:r>
      <w:r>
        <w:t xml:space="preserve"> many schools and teachers </w:t>
      </w:r>
      <w:r w:rsidR="007E748B">
        <w:t>used</w:t>
      </w:r>
      <w:r>
        <w:t xml:space="preserve"> Workplace Practices to provide focus and meaning for the learning done by their students in a range of flexible programs. Students </w:t>
      </w:r>
      <w:proofErr w:type="gramStart"/>
      <w:r>
        <w:t>are being provided</w:t>
      </w:r>
      <w:proofErr w:type="gramEnd"/>
      <w:r>
        <w:t xml:space="preserve"> with an opportunity to explore their work choices and future learning </w:t>
      </w:r>
      <w:r w:rsidR="005D3A05">
        <w:t xml:space="preserve">while </w:t>
      </w:r>
      <w:r>
        <w:t>at school, which is indicative of the range of learning op</w:t>
      </w:r>
      <w:r w:rsidR="000E2264">
        <w:t>portunities offered by schools.</w:t>
      </w:r>
    </w:p>
    <w:p w:rsidR="001A0F23" w:rsidRDefault="00532959">
      <w:pPr>
        <w:pStyle w:val="Heading2"/>
      </w:pPr>
      <w:r>
        <w:t>School Assessment</w:t>
      </w:r>
    </w:p>
    <w:p w:rsidR="001A0F23" w:rsidRPr="00CD32DE" w:rsidRDefault="001A0F23" w:rsidP="001A0F23">
      <w:pPr>
        <w:pStyle w:val="AssessmentTypeHeading"/>
      </w:pPr>
      <w:r w:rsidRPr="00CD32DE">
        <w:t xml:space="preserve">Assessment Type 1: </w:t>
      </w:r>
      <w:r w:rsidR="0052489E">
        <w:t>Folio</w:t>
      </w:r>
    </w:p>
    <w:p w:rsidR="002A573E" w:rsidRPr="00DC2831" w:rsidRDefault="002A573E" w:rsidP="00D81147">
      <w:pPr>
        <w:pStyle w:val="BodyText1"/>
        <w:rPr>
          <w:b/>
        </w:rPr>
      </w:pPr>
      <w:r w:rsidRPr="00DC2831">
        <w:t xml:space="preserve">For this assessment type, students </w:t>
      </w:r>
      <w:r w:rsidR="00D668DB">
        <w:t xml:space="preserve">undertaking the 20-credit subject </w:t>
      </w:r>
      <w:r w:rsidRPr="00DC2831">
        <w:t xml:space="preserve">are expected to complete </w:t>
      </w:r>
      <w:r w:rsidR="005D3A05">
        <w:t>at least three</w:t>
      </w:r>
      <w:r w:rsidRPr="00DC2831">
        <w:t xml:space="preserve"> </w:t>
      </w:r>
      <w:r w:rsidR="005D3A05">
        <w:t>a</w:t>
      </w:r>
      <w:r w:rsidR="005D3A05" w:rsidRPr="00DC2831">
        <w:t>ssessment</w:t>
      </w:r>
      <w:r w:rsidR="00D668DB">
        <w:t xml:space="preserve"> tasks</w:t>
      </w:r>
      <w:r w:rsidR="005D3A05" w:rsidRPr="00DC2831">
        <w:t xml:space="preserve"> </w:t>
      </w:r>
      <w:r w:rsidRPr="00DC2831">
        <w:t xml:space="preserve">designed to address the </w:t>
      </w:r>
      <w:r w:rsidR="00BF497A">
        <w:t>‘</w:t>
      </w:r>
      <w:r w:rsidRPr="00DC2831">
        <w:t>Industry and Work Knowledge</w:t>
      </w:r>
      <w:r w:rsidR="00BF497A">
        <w:t>’</w:t>
      </w:r>
      <w:r w:rsidRPr="00DC2831">
        <w:t xml:space="preserve"> </w:t>
      </w:r>
      <w:r w:rsidR="005D3A05">
        <w:t xml:space="preserve">area of study (Topics 1–5) </w:t>
      </w:r>
      <w:r w:rsidR="005C5D39">
        <w:t>specified</w:t>
      </w:r>
      <w:r w:rsidRPr="00DC2831">
        <w:t xml:space="preserve"> in the subject outline. It is important to note that for the </w:t>
      </w:r>
      <w:r w:rsidR="005D3A05" w:rsidRPr="00DC2831">
        <w:t>10</w:t>
      </w:r>
      <w:r w:rsidR="00D81147">
        <w:t>-</w:t>
      </w:r>
      <w:r w:rsidR="005D3A05">
        <w:t>c</w:t>
      </w:r>
      <w:r w:rsidRPr="00DC2831">
        <w:t xml:space="preserve">redit </w:t>
      </w:r>
      <w:r w:rsidR="005D3A05">
        <w:t>subject</w:t>
      </w:r>
      <w:r w:rsidRPr="00DC2831">
        <w:t xml:space="preserve">, students must undertake at least one </w:t>
      </w:r>
      <w:r w:rsidR="005D3A05">
        <w:t>a</w:t>
      </w:r>
      <w:r w:rsidR="005D3A05" w:rsidRPr="00DC2831">
        <w:t xml:space="preserve">ssessment </w:t>
      </w:r>
      <w:r w:rsidR="00D668DB">
        <w:t xml:space="preserve">task </w:t>
      </w:r>
      <w:r w:rsidRPr="00DC2831">
        <w:t xml:space="preserve">and it must </w:t>
      </w:r>
      <w:r w:rsidR="005D3A05">
        <w:t>be</w:t>
      </w:r>
      <w:r w:rsidR="005D3A05" w:rsidRPr="00DC2831">
        <w:t xml:space="preserve"> </w:t>
      </w:r>
      <w:r w:rsidRPr="00DC2831">
        <w:t xml:space="preserve">from </w:t>
      </w:r>
      <w:r w:rsidR="005D3A05" w:rsidRPr="00DC2831">
        <w:t>Topic</w:t>
      </w:r>
      <w:r w:rsidR="005D3A05">
        <w:t> </w:t>
      </w:r>
      <w:r w:rsidR="000E2264">
        <w:t>5: Negotiated Topics.</w:t>
      </w:r>
    </w:p>
    <w:p w:rsidR="002A573E" w:rsidRPr="00DC2831" w:rsidRDefault="00116705" w:rsidP="00E57FFA">
      <w:pPr>
        <w:pStyle w:val="BodyText1"/>
        <w:spacing w:after="0"/>
        <w:rPr>
          <w:b/>
        </w:rPr>
      </w:pPr>
      <w:r>
        <w:t xml:space="preserve">For </w:t>
      </w:r>
      <w:r w:rsidR="007A5844">
        <w:t>this assessment type</w:t>
      </w:r>
      <w:r>
        <w:t xml:space="preserve">, students </w:t>
      </w:r>
      <w:r w:rsidR="00343C83">
        <w:t xml:space="preserve">are asked to </w:t>
      </w:r>
      <w:r>
        <w:t>provide evidence of their learning in relation to the following</w:t>
      </w:r>
      <w:r w:rsidR="002A573E" w:rsidRPr="00DC2831">
        <w:t xml:space="preserve"> </w:t>
      </w:r>
      <w:r w:rsidR="005D3A05">
        <w:t>a</w:t>
      </w:r>
      <w:r w:rsidR="005D3A05" w:rsidRPr="00DC2831">
        <w:t xml:space="preserve">ssessment </w:t>
      </w:r>
      <w:r w:rsidR="005D3A05">
        <w:t>d</w:t>
      </w:r>
      <w:r w:rsidR="005D3A05" w:rsidRPr="00DC2831">
        <w:t xml:space="preserve">esign </w:t>
      </w:r>
      <w:r w:rsidR="005D3A05">
        <w:t>c</w:t>
      </w:r>
      <w:r w:rsidR="005D3A05" w:rsidRPr="00DC2831">
        <w:t>riteria</w:t>
      </w:r>
      <w:r w:rsidR="002A573E" w:rsidRPr="00DC2831">
        <w:t>:</w:t>
      </w:r>
    </w:p>
    <w:p w:rsidR="002A573E" w:rsidRPr="00DC2831" w:rsidRDefault="002A573E" w:rsidP="002A573E">
      <w:pPr>
        <w:pStyle w:val="dotpoints"/>
        <w:rPr>
          <w:b/>
        </w:rPr>
      </w:pPr>
      <w:r w:rsidRPr="00DC2831">
        <w:t>knowledge and understanding</w:t>
      </w:r>
    </w:p>
    <w:p w:rsidR="002A573E" w:rsidRPr="00DC2831" w:rsidRDefault="002A573E" w:rsidP="002A573E">
      <w:pPr>
        <w:pStyle w:val="dotpoints"/>
        <w:rPr>
          <w:b/>
        </w:rPr>
      </w:pPr>
      <w:r w:rsidRPr="00DC2831">
        <w:t>investigation and analysis</w:t>
      </w:r>
    </w:p>
    <w:p w:rsidR="002A573E" w:rsidRPr="00DC2831" w:rsidRDefault="002A573E" w:rsidP="002A573E">
      <w:pPr>
        <w:pStyle w:val="dotpoints"/>
        <w:rPr>
          <w:b/>
        </w:rPr>
      </w:pPr>
      <w:proofErr w:type="gramStart"/>
      <w:r w:rsidRPr="00DC2831">
        <w:t>reflection</w:t>
      </w:r>
      <w:proofErr w:type="gramEnd"/>
      <w:r w:rsidRPr="00DC2831">
        <w:t xml:space="preserve"> and evaluation.</w:t>
      </w:r>
    </w:p>
    <w:p w:rsidR="002A573E" w:rsidRPr="00DC2831" w:rsidRDefault="002A573E" w:rsidP="003C51CE">
      <w:pPr>
        <w:pStyle w:val="BodyText1"/>
        <w:rPr>
          <w:b/>
        </w:rPr>
      </w:pPr>
      <w:r w:rsidRPr="00DC2831">
        <w:t xml:space="preserve">Please note that </w:t>
      </w:r>
      <w:r w:rsidR="00116705">
        <w:t>the a</w:t>
      </w:r>
      <w:r w:rsidR="00116705" w:rsidRPr="00DC2831">
        <w:t>pplication</w:t>
      </w:r>
      <w:r w:rsidR="00116705">
        <w:t xml:space="preserve"> criterion</w:t>
      </w:r>
      <w:r w:rsidR="00116705" w:rsidRPr="00DC2831">
        <w:t xml:space="preserve"> </w:t>
      </w:r>
      <w:r w:rsidRPr="00DC2831">
        <w:t xml:space="preserve">is not assessed in this </w:t>
      </w:r>
      <w:r w:rsidR="003C51CE">
        <w:t>a</w:t>
      </w:r>
      <w:r w:rsidRPr="00DC2831">
        <w:t xml:space="preserve">ssessment </w:t>
      </w:r>
      <w:r w:rsidR="003C51CE">
        <w:t>t</w:t>
      </w:r>
      <w:r w:rsidRPr="00DC2831">
        <w:t xml:space="preserve">ype and students can be disadvantaged by teachers </w:t>
      </w:r>
      <w:r w:rsidR="00116705">
        <w:t xml:space="preserve">who </w:t>
      </w:r>
      <w:r w:rsidRPr="00DC2831">
        <w:t>choos</w:t>
      </w:r>
      <w:r w:rsidR="00116705">
        <w:t>e</w:t>
      </w:r>
      <w:r w:rsidRPr="00DC2831">
        <w:t xml:space="preserve"> to include this </w:t>
      </w:r>
      <w:r w:rsidR="005C5D39">
        <w:t>in their assessment task design</w:t>
      </w:r>
      <w:r w:rsidR="000E2264">
        <w:t>.</w:t>
      </w:r>
    </w:p>
    <w:p w:rsidR="002A573E" w:rsidRPr="00DC2831" w:rsidRDefault="002A573E" w:rsidP="00116705">
      <w:pPr>
        <w:pStyle w:val="BodyText1"/>
        <w:rPr>
          <w:b/>
        </w:rPr>
      </w:pPr>
      <w:r w:rsidRPr="00DC2831">
        <w:t xml:space="preserve">It was clear during the moderation process that an increasing number of schools are attempting to tailor the </w:t>
      </w:r>
      <w:r w:rsidR="00116705">
        <w:t>f</w:t>
      </w:r>
      <w:r w:rsidR="00116705" w:rsidRPr="00DC2831">
        <w:t xml:space="preserve">olio </w:t>
      </w:r>
      <w:r w:rsidR="000E2264">
        <w:t xml:space="preserve">assessment </w:t>
      </w:r>
      <w:r w:rsidRPr="00DC2831">
        <w:t xml:space="preserve">tasks to the needs of their students. It was pleasing to see </w:t>
      </w:r>
      <w:r w:rsidR="000E2264">
        <w:t xml:space="preserve">assessment </w:t>
      </w:r>
      <w:r w:rsidRPr="00DC2831">
        <w:t xml:space="preserve">tasks that had been generated or adapted using subject operational advice and exemplars available on the SACE Board </w:t>
      </w:r>
      <w:r w:rsidR="00116705">
        <w:t>w</w:t>
      </w:r>
      <w:r w:rsidR="00116705" w:rsidRPr="00DC2831">
        <w:t>ebsite</w:t>
      </w:r>
      <w:r w:rsidR="000E2264">
        <w:t>.</w:t>
      </w:r>
    </w:p>
    <w:p w:rsidR="002A573E" w:rsidRPr="00DC2831" w:rsidRDefault="002A573E" w:rsidP="00DD4CB1">
      <w:pPr>
        <w:pStyle w:val="BodyText1"/>
        <w:rPr>
          <w:b/>
        </w:rPr>
      </w:pPr>
      <w:r w:rsidRPr="00DC2831">
        <w:t xml:space="preserve">It was also evident that teachers were striving to provide students greater opportunity to reflect on and evaluate their </w:t>
      </w:r>
      <w:r w:rsidR="005C5D39">
        <w:t>l</w:t>
      </w:r>
      <w:r w:rsidRPr="00DC2831">
        <w:t>earning</w:t>
      </w:r>
      <w:r w:rsidR="00116705">
        <w:t>. P</w:t>
      </w:r>
      <w:r w:rsidRPr="00DC2831">
        <w:t xml:space="preserve">revious Chief Assessor </w:t>
      </w:r>
      <w:r w:rsidR="00116705">
        <w:t>r</w:t>
      </w:r>
      <w:r w:rsidR="00116705" w:rsidRPr="00DC2831">
        <w:t xml:space="preserve">eports </w:t>
      </w:r>
      <w:r w:rsidR="00116705">
        <w:t xml:space="preserve">have noted </w:t>
      </w:r>
      <w:r w:rsidRPr="00DC2831">
        <w:t xml:space="preserve">that </w:t>
      </w:r>
      <w:r w:rsidR="00116705">
        <w:t xml:space="preserve">reflection </w:t>
      </w:r>
      <w:r w:rsidR="005C5D39">
        <w:t xml:space="preserve">and </w:t>
      </w:r>
      <w:r w:rsidR="00116705">
        <w:t>evaluation</w:t>
      </w:r>
      <w:r w:rsidR="00116705" w:rsidRPr="00DC2831">
        <w:t xml:space="preserve"> </w:t>
      </w:r>
      <w:r w:rsidRPr="00DC2831">
        <w:t xml:space="preserve">must be assessed in </w:t>
      </w:r>
      <w:r w:rsidRPr="00DC2831">
        <w:rPr>
          <w:i/>
        </w:rPr>
        <w:t xml:space="preserve">at least one </w:t>
      </w:r>
      <w:r w:rsidRPr="00DC2831">
        <w:t xml:space="preserve">of the </w:t>
      </w:r>
      <w:r w:rsidR="000E2264">
        <w:t>f</w:t>
      </w:r>
      <w:r w:rsidR="000E2264" w:rsidRPr="00DC2831">
        <w:t>olio</w:t>
      </w:r>
      <w:r w:rsidR="000E2264">
        <w:t xml:space="preserve"> assessment </w:t>
      </w:r>
      <w:r w:rsidRPr="00DC2831">
        <w:t xml:space="preserve">tasks. </w:t>
      </w:r>
      <w:r w:rsidR="00250C1B">
        <w:t>Note</w:t>
      </w:r>
      <w:r w:rsidRPr="00DC2831">
        <w:t xml:space="preserve">, however, that </w:t>
      </w:r>
      <w:r w:rsidR="00D668DB">
        <w:t>reflection and evaluation</w:t>
      </w:r>
      <w:r w:rsidR="00116705" w:rsidRPr="00DC2831">
        <w:t xml:space="preserve"> </w:t>
      </w:r>
      <w:r w:rsidRPr="00DC2831">
        <w:t xml:space="preserve">does not need to be addressed in every </w:t>
      </w:r>
      <w:r w:rsidR="00116705">
        <w:t xml:space="preserve">folio </w:t>
      </w:r>
      <w:r w:rsidR="002750E9">
        <w:t xml:space="preserve">assessment </w:t>
      </w:r>
      <w:r w:rsidRPr="00DC2831">
        <w:t xml:space="preserve">task. In fact, teachers may be disadvantaging students if </w:t>
      </w:r>
      <w:r w:rsidR="00250C1B">
        <w:t>they ask students</w:t>
      </w:r>
      <w:r w:rsidRPr="00DC2831">
        <w:t xml:space="preserve"> to meet all of the </w:t>
      </w:r>
      <w:r w:rsidR="00116705">
        <w:t>a</w:t>
      </w:r>
      <w:r w:rsidR="00116705" w:rsidRPr="00DC2831">
        <w:t xml:space="preserve">ssessment </w:t>
      </w:r>
      <w:r w:rsidR="00116705">
        <w:t>d</w:t>
      </w:r>
      <w:r w:rsidR="00116705" w:rsidRPr="00DC2831">
        <w:t xml:space="preserve">esign </w:t>
      </w:r>
      <w:r w:rsidR="00116705">
        <w:t>c</w:t>
      </w:r>
      <w:r w:rsidR="003C51CE">
        <w:t>r</w:t>
      </w:r>
      <w:r w:rsidR="00116705" w:rsidRPr="00DC2831">
        <w:t xml:space="preserve">iteria </w:t>
      </w:r>
      <w:r w:rsidRPr="00DC2831">
        <w:t xml:space="preserve">for the </w:t>
      </w:r>
      <w:r w:rsidR="00116705">
        <w:t>f</w:t>
      </w:r>
      <w:r w:rsidRPr="00DC2831">
        <w:t xml:space="preserve">olio in each of the </w:t>
      </w:r>
      <w:r w:rsidR="000E2264">
        <w:t xml:space="preserve">assessment </w:t>
      </w:r>
      <w:r w:rsidRPr="00DC2831">
        <w:t>tasks set.</w:t>
      </w:r>
      <w:r w:rsidR="003C51CE">
        <w:t xml:space="preserve"> </w:t>
      </w:r>
      <w:r w:rsidRPr="00DC2831">
        <w:t xml:space="preserve">For </w:t>
      </w:r>
      <w:r w:rsidR="00116705">
        <w:t>e</w:t>
      </w:r>
      <w:r w:rsidRPr="00DC2831">
        <w:t xml:space="preserve">xample, many </w:t>
      </w:r>
      <w:r w:rsidR="00603F14">
        <w:t>assessment</w:t>
      </w:r>
      <w:r w:rsidR="000E2264">
        <w:t xml:space="preserve"> task</w:t>
      </w:r>
      <w:r w:rsidR="00603F14">
        <w:t>s for Topic</w:t>
      </w:r>
      <w:r w:rsidR="00BF497A">
        <w:t> </w:t>
      </w:r>
      <w:r w:rsidR="00603F14">
        <w:t xml:space="preserve">4: </w:t>
      </w:r>
      <w:r w:rsidRPr="00DC2831">
        <w:t xml:space="preserve">Finding Employment </w:t>
      </w:r>
      <w:r w:rsidR="00DD4CB1">
        <w:t>was</w:t>
      </w:r>
      <w:r w:rsidRPr="00DC2831">
        <w:t xml:space="preserve"> limited in the reflection and evaluation they </w:t>
      </w:r>
      <w:r w:rsidRPr="00DC2831">
        <w:lastRenderedPageBreak/>
        <w:t>demanded of students.</w:t>
      </w:r>
      <w:r w:rsidR="003C51CE">
        <w:t xml:space="preserve"> </w:t>
      </w:r>
      <w:r w:rsidR="000E2264">
        <w:t>Assessment tasks such as p</w:t>
      </w:r>
      <w:r w:rsidRPr="00DC2831">
        <w:t xml:space="preserve">roducing an </w:t>
      </w:r>
      <w:r w:rsidR="000E2264">
        <w:t>e</w:t>
      </w:r>
      <w:r w:rsidRPr="00DC2831">
        <w:t xml:space="preserve">mployment </w:t>
      </w:r>
      <w:r w:rsidR="000E2264">
        <w:t>p</w:t>
      </w:r>
      <w:r w:rsidRPr="00DC2831">
        <w:t xml:space="preserve">ortfolio, </w:t>
      </w:r>
      <w:r w:rsidR="000E2264">
        <w:t xml:space="preserve">writing a </w:t>
      </w:r>
      <w:proofErr w:type="spellStart"/>
      <w:r w:rsidR="000E2264">
        <w:t>r</w:t>
      </w:r>
      <w:r w:rsidRPr="00DC2831">
        <w:t>esum</w:t>
      </w:r>
      <w:r w:rsidR="000E2264">
        <w:rPr>
          <w:rFonts w:cs="Arial"/>
        </w:rPr>
        <w:t>é</w:t>
      </w:r>
      <w:proofErr w:type="spellEnd"/>
      <w:r w:rsidRPr="00DC2831">
        <w:t xml:space="preserve">, </w:t>
      </w:r>
      <w:proofErr w:type="spellStart"/>
      <w:r w:rsidR="000E2264">
        <w:t>wr</w:t>
      </w:r>
      <w:proofErr w:type="spellEnd"/>
      <w:r w:rsidR="00E57FFA">
        <w:tab/>
      </w:r>
      <w:proofErr w:type="spellStart"/>
      <w:r w:rsidR="000E2264">
        <w:t>iting</w:t>
      </w:r>
      <w:proofErr w:type="spellEnd"/>
      <w:r w:rsidR="000E2264">
        <w:t xml:space="preserve"> a c</w:t>
      </w:r>
      <w:r w:rsidRPr="00DC2831">
        <w:t xml:space="preserve">over </w:t>
      </w:r>
      <w:r w:rsidR="000E2264">
        <w:t>l</w:t>
      </w:r>
      <w:r w:rsidRPr="00DC2831">
        <w:t>etter</w:t>
      </w:r>
      <w:r w:rsidR="00250C1B">
        <w:t>,</w:t>
      </w:r>
      <w:r w:rsidRPr="00DC2831">
        <w:t xml:space="preserve"> and sitting a mock interview can allow students to demonstrate </w:t>
      </w:r>
      <w:r w:rsidR="00250C1B">
        <w:t>k</w:t>
      </w:r>
      <w:r w:rsidRPr="00DC2831">
        <w:t xml:space="preserve">nowledge and </w:t>
      </w:r>
      <w:r w:rsidR="00250C1B">
        <w:t>u</w:t>
      </w:r>
      <w:r w:rsidRPr="00DC2831">
        <w:t xml:space="preserve">nderstanding as well as </w:t>
      </w:r>
      <w:r w:rsidR="00250C1B">
        <w:t>i</w:t>
      </w:r>
      <w:r w:rsidRPr="00DC2831">
        <w:t xml:space="preserve">nvestigation and </w:t>
      </w:r>
      <w:r w:rsidR="00250C1B">
        <w:t>a</w:t>
      </w:r>
      <w:r w:rsidRPr="00DC2831">
        <w:t xml:space="preserve">nalysis where sufficient evidence </w:t>
      </w:r>
      <w:proofErr w:type="gramStart"/>
      <w:r w:rsidRPr="00DC2831">
        <w:t>is supplied</w:t>
      </w:r>
      <w:proofErr w:type="gramEnd"/>
      <w:r w:rsidRPr="00DC2831">
        <w:t>.</w:t>
      </w:r>
      <w:r w:rsidR="003C51CE">
        <w:t xml:space="preserve"> </w:t>
      </w:r>
      <w:r w:rsidRPr="00DC2831">
        <w:t xml:space="preserve">However, </w:t>
      </w:r>
      <w:r w:rsidR="00603F14">
        <w:t xml:space="preserve">in </w:t>
      </w:r>
      <w:r w:rsidRPr="00DC2831">
        <w:t>a</w:t>
      </w:r>
      <w:r w:rsidR="007D6913">
        <w:t>n</w:t>
      </w:r>
      <w:r w:rsidRPr="00DC2831">
        <w:t xml:space="preserve"> </w:t>
      </w:r>
      <w:r w:rsidR="007D6913">
        <w:t>increasing</w:t>
      </w:r>
      <w:r w:rsidR="007D6913" w:rsidRPr="00DC2831">
        <w:t xml:space="preserve"> </w:t>
      </w:r>
      <w:r w:rsidRPr="00DC2831">
        <w:t xml:space="preserve">number of these </w:t>
      </w:r>
      <w:r w:rsidR="00116705">
        <w:t>a</w:t>
      </w:r>
      <w:r w:rsidRPr="00DC2831">
        <w:t xml:space="preserve">ssessment </w:t>
      </w:r>
      <w:r w:rsidR="00116705">
        <w:t>t</w:t>
      </w:r>
      <w:r w:rsidRPr="00DC2831">
        <w:t>asks</w:t>
      </w:r>
      <w:r w:rsidR="000E2264">
        <w:t>,</w:t>
      </w:r>
      <w:r w:rsidR="00603F14">
        <w:t xml:space="preserve"> student work was</w:t>
      </w:r>
      <w:r w:rsidRPr="00DC2831">
        <w:t xml:space="preserve"> marked </w:t>
      </w:r>
      <w:r w:rsidR="00603F14">
        <w:t>for</w:t>
      </w:r>
      <w:r w:rsidR="00603F14" w:rsidRPr="00DC2831">
        <w:t xml:space="preserve"> </w:t>
      </w:r>
      <w:r w:rsidR="00116705">
        <w:t>r</w:t>
      </w:r>
      <w:r w:rsidRPr="00DC2831">
        <w:t xml:space="preserve">eflection and </w:t>
      </w:r>
      <w:r w:rsidR="00116705">
        <w:t>e</w:t>
      </w:r>
      <w:r w:rsidRPr="00DC2831">
        <w:t xml:space="preserve">valuation </w:t>
      </w:r>
      <w:r w:rsidR="00603F14">
        <w:t>even though students hadn’t been</w:t>
      </w:r>
      <w:r w:rsidR="00603F14" w:rsidRPr="00DC2831">
        <w:t xml:space="preserve"> </w:t>
      </w:r>
      <w:r w:rsidRPr="00DC2831">
        <w:t>explicitly asked to do either</w:t>
      </w:r>
      <w:r w:rsidR="000E2264">
        <w:t>.</w:t>
      </w:r>
    </w:p>
    <w:p w:rsidR="002A573E" w:rsidRPr="00DC2831" w:rsidRDefault="002A573E" w:rsidP="00603F14">
      <w:pPr>
        <w:pStyle w:val="BodyText1"/>
        <w:rPr>
          <w:b/>
          <w:i/>
        </w:rPr>
      </w:pPr>
      <w:r w:rsidRPr="00DC2831">
        <w:t xml:space="preserve">It is essential that students are provided </w:t>
      </w:r>
      <w:r w:rsidRPr="003C51CE">
        <w:rPr>
          <w:iCs/>
        </w:rPr>
        <w:t>opportunities to demonstrate each of the specific features by the completion of study of the subject</w:t>
      </w:r>
      <w:r w:rsidR="00603F14">
        <w:rPr>
          <w:iCs/>
        </w:rPr>
        <w:t>;</w:t>
      </w:r>
      <w:r w:rsidRPr="00603F14">
        <w:rPr>
          <w:i/>
        </w:rPr>
        <w:t xml:space="preserve"> </w:t>
      </w:r>
      <w:r w:rsidR="00603F14" w:rsidRPr="00603F14">
        <w:rPr>
          <w:iCs/>
        </w:rPr>
        <w:t xml:space="preserve">however, </w:t>
      </w:r>
      <w:r w:rsidRPr="00603F14">
        <w:rPr>
          <w:iCs/>
        </w:rPr>
        <w:t>t</w:t>
      </w:r>
      <w:r w:rsidRPr="00DC2831">
        <w:t xml:space="preserve">here is no requirement </w:t>
      </w:r>
      <w:r w:rsidR="00603F14">
        <w:t>for</w:t>
      </w:r>
      <w:r w:rsidR="00603F14" w:rsidRPr="00DC2831">
        <w:t xml:space="preserve"> </w:t>
      </w:r>
      <w:r w:rsidRPr="00DC2831">
        <w:t xml:space="preserve">each of the </w:t>
      </w:r>
      <w:r w:rsidR="00116705">
        <w:t>a</w:t>
      </w:r>
      <w:r w:rsidRPr="00DC2831">
        <w:t xml:space="preserve">ssessment </w:t>
      </w:r>
      <w:r w:rsidR="00116705">
        <w:t>d</w:t>
      </w:r>
      <w:r w:rsidRPr="00DC2831">
        <w:t xml:space="preserve">esign </w:t>
      </w:r>
      <w:r w:rsidR="00116705">
        <w:t>c</w:t>
      </w:r>
      <w:r w:rsidRPr="00DC2831">
        <w:t xml:space="preserve">riteria </w:t>
      </w:r>
      <w:r w:rsidR="00603F14">
        <w:t>to be</w:t>
      </w:r>
      <w:r w:rsidR="00603F14" w:rsidRPr="00DC2831">
        <w:t xml:space="preserve"> </w:t>
      </w:r>
      <w:r w:rsidRPr="00DC2831">
        <w:t>ass</w:t>
      </w:r>
      <w:r w:rsidR="005C5D39">
        <w:t>ess</w:t>
      </w:r>
      <w:r w:rsidRPr="00DC2831">
        <w:t xml:space="preserve">ed in </w:t>
      </w:r>
      <w:r w:rsidRPr="00603F14">
        <w:rPr>
          <w:i/>
          <w:iCs/>
        </w:rPr>
        <w:t>every</w:t>
      </w:r>
      <w:r w:rsidRPr="00DC2831">
        <w:t xml:space="preserve"> </w:t>
      </w:r>
      <w:r w:rsidR="00116705">
        <w:t>a</w:t>
      </w:r>
      <w:r w:rsidRPr="00DC2831">
        <w:t xml:space="preserve">ssessment </w:t>
      </w:r>
      <w:r w:rsidR="00116705">
        <w:t>t</w:t>
      </w:r>
      <w:r w:rsidRPr="00DC2831">
        <w:t>ask.</w:t>
      </w:r>
    </w:p>
    <w:p w:rsidR="002A573E" w:rsidRPr="00DC2831" w:rsidRDefault="002A573E" w:rsidP="00D46DD5">
      <w:pPr>
        <w:pStyle w:val="BodyText1"/>
      </w:pPr>
      <w:r w:rsidRPr="00DC2831">
        <w:t xml:space="preserve">Moderators also noted that </w:t>
      </w:r>
      <w:r w:rsidR="00603F14" w:rsidRPr="00DC2831">
        <w:t>whil</w:t>
      </w:r>
      <w:r w:rsidR="00603F14">
        <w:t>e</w:t>
      </w:r>
      <w:r w:rsidR="00603F14" w:rsidRPr="00DC2831">
        <w:t xml:space="preserve"> </w:t>
      </w:r>
      <w:r w:rsidR="00603F14">
        <w:t xml:space="preserve">highly prescribed </w:t>
      </w:r>
      <w:r w:rsidR="00D668DB">
        <w:t xml:space="preserve">and scaffolded </w:t>
      </w:r>
      <w:r w:rsidR="00603F14">
        <w:t>assessments</w:t>
      </w:r>
      <w:r w:rsidR="00603F14" w:rsidRPr="00DC2831">
        <w:t xml:space="preserve"> </w:t>
      </w:r>
      <w:r w:rsidRPr="00DC2831">
        <w:t xml:space="preserve">helped </w:t>
      </w:r>
      <w:r w:rsidR="00603F14">
        <w:t xml:space="preserve">some </w:t>
      </w:r>
      <w:r w:rsidRPr="00DC2831">
        <w:t xml:space="preserve">students to </w:t>
      </w:r>
      <w:r w:rsidR="00603F14">
        <w:t>achieve at</w:t>
      </w:r>
      <w:r w:rsidRPr="00DC2831">
        <w:t xml:space="preserve"> a C </w:t>
      </w:r>
      <w:r w:rsidR="00603F14">
        <w:t>grade</w:t>
      </w:r>
      <w:r w:rsidRPr="00DC2831">
        <w:t xml:space="preserve">, in many cases, it prevented the more sophisticated students from </w:t>
      </w:r>
      <w:r w:rsidR="00603F14">
        <w:t>achieving at</w:t>
      </w:r>
      <w:r w:rsidR="00603F14" w:rsidRPr="00DC2831">
        <w:t xml:space="preserve"> </w:t>
      </w:r>
      <w:r w:rsidRPr="00DC2831">
        <w:t xml:space="preserve">the higher </w:t>
      </w:r>
      <w:r w:rsidR="00D46DD5">
        <w:t>grades</w:t>
      </w:r>
      <w:r w:rsidRPr="00DC2831">
        <w:t xml:space="preserve">. Teachers are encouraged to provide scaffolding where necessary, but to differentiate their assessment to provide students the </w:t>
      </w:r>
      <w:r w:rsidR="00603F14">
        <w:t>best opportunity</w:t>
      </w:r>
      <w:r w:rsidR="00603F14" w:rsidRPr="00DC2831">
        <w:t xml:space="preserve"> </w:t>
      </w:r>
      <w:r w:rsidRPr="00DC2831">
        <w:t xml:space="preserve">to </w:t>
      </w:r>
      <w:r w:rsidR="00603F14">
        <w:t xml:space="preserve">achieve at all grade bands of the performance standards, including the highest </w:t>
      </w:r>
      <w:r w:rsidR="00D46DD5">
        <w:t>grades</w:t>
      </w:r>
      <w:r w:rsidR="00B23282">
        <w:t>.</w:t>
      </w:r>
    </w:p>
    <w:p w:rsidR="002A573E" w:rsidRDefault="002A573E" w:rsidP="00AB067B">
      <w:pPr>
        <w:pStyle w:val="BodyText1"/>
      </w:pPr>
      <w:r w:rsidRPr="00DC2831">
        <w:t xml:space="preserve">It is also important to note that </w:t>
      </w:r>
      <w:r w:rsidR="00AB067B">
        <w:t xml:space="preserve">assessment </w:t>
      </w:r>
      <w:r w:rsidRPr="00DC2831">
        <w:t>task design must allow for more than simple regurgitation of factual information</w:t>
      </w:r>
      <w:r w:rsidR="00AB067B">
        <w:t xml:space="preserve"> —</w:t>
      </w:r>
      <w:r w:rsidRPr="00DC2831">
        <w:t xml:space="preserve"> such as brochures with copied slabs of text, responses to watching a video, or class responses to shared articles</w:t>
      </w:r>
      <w:r w:rsidR="00AB067B">
        <w:t xml:space="preserve"> —</w:t>
      </w:r>
      <w:r w:rsidRPr="00DC2831">
        <w:t xml:space="preserve"> to enable students the opportunity to </w:t>
      </w:r>
      <w:r w:rsidR="00AB067B">
        <w:t>demonstrate skills</w:t>
      </w:r>
      <w:r w:rsidRPr="00DC2831">
        <w:t xml:space="preserve"> at the higher </w:t>
      </w:r>
      <w:r w:rsidR="00AB067B">
        <w:t>grade bands</w:t>
      </w:r>
      <w:r w:rsidR="00AB067B" w:rsidRPr="00DC2831">
        <w:t xml:space="preserve"> </w:t>
      </w:r>
      <w:r w:rsidR="00B23282">
        <w:t>of the performance standards.</w:t>
      </w:r>
    </w:p>
    <w:p w:rsidR="002A573E" w:rsidRPr="00DC2831" w:rsidRDefault="002A573E" w:rsidP="00D81147">
      <w:pPr>
        <w:pStyle w:val="BodyText1"/>
      </w:pPr>
      <w:r>
        <w:t xml:space="preserve">Finally, when providing evidence of student learning to moderators, it is essential that teachers include evidence of their assessment decisions. This can include work with comments, </w:t>
      </w:r>
      <w:r w:rsidR="00D81147">
        <w:t xml:space="preserve">a </w:t>
      </w:r>
      <w:r w:rsidR="003C51CE">
        <w:t>p</w:t>
      </w:r>
      <w:r>
        <w:t xml:space="preserve">erformance </w:t>
      </w:r>
      <w:r w:rsidR="003C51CE">
        <w:t>s</w:t>
      </w:r>
      <w:r>
        <w:t>tandards</w:t>
      </w:r>
      <w:r w:rsidR="00D668DB">
        <w:t xml:space="preserve"> rubric with the grade band highlighted for each assessment design criteria</w:t>
      </w:r>
      <w:r w:rsidR="00345276">
        <w:t>,</w:t>
      </w:r>
      <w:r>
        <w:t xml:space="preserve"> and overall comments with a final assessment decision.</w:t>
      </w:r>
      <w:r w:rsidR="003C51CE">
        <w:t xml:space="preserve"> </w:t>
      </w:r>
      <w:r>
        <w:t>Where no teacher interaction with the work was evident, it was often difficult for moderators to co</w:t>
      </w:r>
      <w:r w:rsidR="00B23282">
        <w:t>nfirm the assessment decisions.</w:t>
      </w:r>
    </w:p>
    <w:p w:rsidR="001A0F23" w:rsidRPr="003C7581" w:rsidRDefault="001A0F23" w:rsidP="001A0F23">
      <w:pPr>
        <w:pStyle w:val="AssessmentTypeHeading"/>
      </w:pPr>
      <w:r w:rsidRPr="003C7581">
        <w:t xml:space="preserve">Assessment Type 2: </w:t>
      </w:r>
      <w:r w:rsidR="0052489E">
        <w:t>Performance</w:t>
      </w:r>
    </w:p>
    <w:p w:rsidR="002A573E" w:rsidRPr="002A573E" w:rsidRDefault="002A573E" w:rsidP="00D81147">
      <w:pPr>
        <w:pStyle w:val="BodyText1"/>
      </w:pPr>
      <w:r w:rsidRPr="00E90807">
        <w:t xml:space="preserve">Performance is the assessment of each student’s learning in and about </w:t>
      </w:r>
      <w:r w:rsidR="005C5D39">
        <w:t>w</w:t>
      </w:r>
      <w:r w:rsidRPr="00E90807">
        <w:t xml:space="preserve">orkplace </w:t>
      </w:r>
      <w:r w:rsidR="005C5D39">
        <w:t>contexts</w:t>
      </w:r>
      <w:r w:rsidRPr="002A573E">
        <w:t xml:space="preserve">. For students to be successful in this </w:t>
      </w:r>
      <w:r w:rsidR="00116705">
        <w:t>a</w:t>
      </w:r>
      <w:r w:rsidRPr="002A573E">
        <w:t xml:space="preserve">ssessment </w:t>
      </w:r>
      <w:r w:rsidR="00116705">
        <w:t>t</w:t>
      </w:r>
      <w:r w:rsidRPr="002A573E">
        <w:t>ype, they must have completed at least 50</w:t>
      </w:r>
      <w:r w:rsidR="00116705">
        <w:t>–</w:t>
      </w:r>
      <w:r w:rsidRPr="002A573E">
        <w:t xml:space="preserve">60 hours </w:t>
      </w:r>
      <w:r w:rsidR="005C5D39">
        <w:t xml:space="preserve">of performance activity </w:t>
      </w:r>
      <w:r w:rsidRPr="002A573E">
        <w:t>for the 20</w:t>
      </w:r>
      <w:r w:rsidR="00D81147">
        <w:t>-</w:t>
      </w:r>
      <w:r w:rsidR="00116705">
        <w:t>c</w:t>
      </w:r>
      <w:r w:rsidRPr="002A573E">
        <w:t>redit</w:t>
      </w:r>
      <w:r w:rsidR="00345276">
        <w:t xml:space="preserve"> subject</w:t>
      </w:r>
      <w:r w:rsidR="005C5D39">
        <w:t>,</w:t>
      </w:r>
      <w:r w:rsidRPr="002A573E">
        <w:t xml:space="preserve"> and 25–30 hours </w:t>
      </w:r>
      <w:r w:rsidR="005C5D39">
        <w:t xml:space="preserve">of performance activity </w:t>
      </w:r>
      <w:r w:rsidRPr="002A573E">
        <w:t>for the 10</w:t>
      </w:r>
      <w:r w:rsidR="00D81147">
        <w:t>-</w:t>
      </w:r>
      <w:r w:rsidR="00116705">
        <w:t>c</w:t>
      </w:r>
      <w:r w:rsidRPr="002A573E">
        <w:t xml:space="preserve">redit </w:t>
      </w:r>
      <w:r w:rsidR="00345276">
        <w:t>subject</w:t>
      </w:r>
      <w:r w:rsidR="000604BC">
        <w:t>, and provide evidence of these through a portfolio</w:t>
      </w:r>
      <w:r w:rsidR="00B23282">
        <w:t>.</w:t>
      </w:r>
    </w:p>
    <w:p w:rsidR="002A573E" w:rsidRPr="00B46088" w:rsidRDefault="002A573E" w:rsidP="00D81147">
      <w:pPr>
        <w:pStyle w:val="BodyText1"/>
      </w:pPr>
      <w:r w:rsidRPr="002A573E">
        <w:t>It is imp</w:t>
      </w:r>
      <w:r>
        <w:t>ortant to note that for the 20</w:t>
      </w:r>
      <w:r w:rsidR="00D81147">
        <w:t>-</w:t>
      </w:r>
      <w:r>
        <w:t>c</w:t>
      </w:r>
      <w:r w:rsidRPr="002A573E">
        <w:t>redit</w:t>
      </w:r>
      <w:r>
        <w:t xml:space="preserve"> subject, this can be completed either as </w:t>
      </w:r>
      <w:r w:rsidRPr="00B46088">
        <w:t>one assessment of 50</w:t>
      </w:r>
      <w:r w:rsidR="00116705">
        <w:t>–</w:t>
      </w:r>
      <w:r w:rsidRPr="00B46088">
        <w:t>60 hours or two assessments of 25</w:t>
      </w:r>
      <w:r w:rsidR="00116705">
        <w:t>–</w:t>
      </w:r>
      <w:r w:rsidRPr="00B46088">
        <w:t>30 hours each. Students are not advantaged by completing two or more placements</w:t>
      </w:r>
      <w:r w:rsidR="00345276">
        <w:t xml:space="preserve"> of </w:t>
      </w:r>
      <w:r w:rsidR="00345276" w:rsidRPr="00B46088">
        <w:t>50</w:t>
      </w:r>
      <w:r w:rsidR="00345276">
        <w:t>–</w:t>
      </w:r>
      <w:r w:rsidR="00345276" w:rsidRPr="00B46088">
        <w:t>60 hour</w:t>
      </w:r>
      <w:r w:rsidR="00345276">
        <w:t>s each</w:t>
      </w:r>
      <w:r w:rsidR="00B23282">
        <w:t>.</w:t>
      </w:r>
    </w:p>
    <w:p w:rsidR="007A5844" w:rsidRPr="00DC2831" w:rsidRDefault="007A5844" w:rsidP="00E57FFA">
      <w:pPr>
        <w:pStyle w:val="BodyText1"/>
        <w:spacing w:after="0"/>
        <w:rPr>
          <w:b/>
        </w:rPr>
      </w:pPr>
      <w:r>
        <w:t xml:space="preserve">For this assessment type, students </w:t>
      </w:r>
      <w:r w:rsidR="00343C83">
        <w:t xml:space="preserve">are asked to </w:t>
      </w:r>
      <w:r>
        <w:t>provide evidence of their learning in relation to the following</w:t>
      </w:r>
      <w:r w:rsidRPr="00DC2831">
        <w:t xml:space="preserve"> </w:t>
      </w:r>
      <w:r>
        <w:t>a</w:t>
      </w:r>
      <w:r w:rsidRPr="00DC2831">
        <w:t xml:space="preserve">ssessment </w:t>
      </w:r>
      <w:r>
        <w:t>d</w:t>
      </w:r>
      <w:r w:rsidRPr="00DC2831">
        <w:t xml:space="preserve">esign </w:t>
      </w:r>
      <w:r>
        <w:t>c</w:t>
      </w:r>
      <w:r w:rsidRPr="00DC2831">
        <w:t>riteria:</w:t>
      </w:r>
    </w:p>
    <w:p w:rsidR="007A5844" w:rsidRPr="007A5844" w:rsidRDefault="007A5844" w:rsidP="007A5844">
      <w:pPr>
        <w:pStyle w:val="dotpoints"/>
      </w:pPr>
      <w:r w:rsidRPr="00DC2831">
        <w:t>knowledge and understanding</w:t>
      </w:r>
    </w:p>
    <w:p w:rsidR="007A5844" w:rsidRPr="007A5844" w:rsidRDefault="007A5844" w:rsidP="007A5844">
      <w:pPr>
        <w:pStyle w:val="dotpoints"/>
        <w:rPr>
          <w:bCs/>
        </w:rPr>
      </w:pPr>
      <w:proofErr w:type="gramStart"/>
      <w:r>
        <w:t>application</w:t>
      </w:r>
      <w:proofErr w:type="gramEnd"/>
      <w:r>
        <w:t>.</w:t>
      </w:r>
    </w:p>
    <w:p w:rsidR="00792429" w:rsidRDefault="00792429">
      <w:pPr>
        <w:rPr>
          <w:rFonts w:ascii="Arial" w:hAnsi="Arial"/>
        </w:rPr>
      </w:pPr>
      <w:r>
        <w:br w:type="page"/>
      </w:r>
    </w:p>
    <w:p w:rsidR="002A573E" w:rsidRDefault="002A573E" w:rsidP="00E57FFA">
      <w:pPr>
        <w:pStyle w:val="BodyText1"/>
        <w:spacing w:after="0"/>
      </w:pPr>
      <w:r w:rsidRPr="00B46088">
        <w:lastRenderedPageBreak/>
        <w:t>Student portfolios for performanc</w:t>
      </w:r>
      <w:r>
        <w:t xml:space="preserve">e should include </w:t>
      </w:r>
      <w:r w:rsidR="00116705">
        <w:t>three</w:t>
      </w:r>
      <w:r>
        <w:t xml:space="preserve"> components:</w:t>
      </w:r>
    </w:p>
    <w:p w:rsidR="002A573E" w:rsidRPr="00B46088" w:rsidRDefault="002A573E" w:rsidP="002A573E">
      <w:pPr>
        <w:pStyle w:val="dotpoints"/>
      </w:pPr>
      <w:r w:rsidRPr="00B46088">
        <w:t>student evidence of knowledge and understanding</w:t>
      </w:r>
      <w:r w:rsidR="005C5D39">
        <w:t>, through a portfolio or similar</w:t>
      </w:r>
    </w:p>
    <w:p w:rsidR="002A573E" w:rsidRPr="00B46088" w:rsidRDefault="002A573E" w:rsidP="00E527D5">
      <w:pPr>
        <w:pStyle w:val="dotpoints"/>
      </w:pPr>
      <w:r w:rsidRPr="00B46088">
        <w:t xml:space="preserve">a </w:t>
      </w:r>
      <w:r w:rsidR="00E527D5">
        <w:t>W</w:t>
      </w:r>
      <w:r w:rsidRPr="00B46088">
        <w:t xml:space="preserve">orkplace </w:t>
      </w:r>
      <w:r w:rsidR="00E527D5">
        <w:t>S</w:t>
      </w:r>
      <w:r w:rsidRPr="00B46088">
        <w:t>upervisor</w:t>
      </w:r>
      <w:r w:rsidR="00345276">
        <w:t>’</w:t>
      </w:r>
      <w:r w:rsidRPr="00B46088">
        <w:t xml:space="preserve">s </w:t>
      </w:r>
      <w:r w:rsidR="00E527D5">
        <w:t>R</w:t>
      </w:r>
      <w:r w:rsidRPr="00B46088">
        <w:t>eport</w:t>
      </w:r>
      <w:r w:rsidR="005C5D39">
        <w:t xml:space="preserve"> (SACE </w:t>
      </w:r>
      <w:r w:rsidR="000A77B4">
        <w:t xml:space="preserve">Board </w:t>
      </w:r>
      <w:r w:rsidR="005C5D39">
        <w:t>form available),</w:t>
      </w:r>
      <w:r w:rsidRPr="00B46088">
        <w:t xml:space="preserve"> or evidence of completed </w:t>
      </w:r>
      <w:r w:rsidR="009B4B14">
        <w:t>vocational education and training (</w:t>
      </w:r>
      <w:r w:rsidRPr="00B46088">
        <w:t>VET</w:t>
      </w:r>
      <w:r w:rsidR="009B4B14">
        <w:t>)</w:t>
      </w:r>
      <w:r w:rsidRPr="00B46088">
        <w:t xml:space="preserve"> competencies</w:t>
      </w:r>
    </w:p>
    <w:p w:rsidR="002A573E" w:rsidRPr="00B46088" w:rsidRDefault="002A573E" w:rsidP="00E527D5">
      <w:pPr>
        <w:pStyle w:val="dotpoints"/>
      </w:pPr>
      <w:proofErr w:type="gramStart"/>
      <w:r w:rsidRPr="00B46088">
        <w:t>a</w:t>
      </w:r>
      <w:proofErr w:type="gramEnd"/>
      <w:r w:rsidRPr="00B46088">
        <w:t xml:space="preserve"> </w:t>
      </w:r>
      <w:r w:rsidR="00E527D5">
        <w:t>T</w:t>
      </w:r>
      <w:r w:rsidRPr="00B46088">
        <w:t xml:space="preserve">eacher’s </w:t>
      </w:r>
      <w:r w:rsidR="00E527D5">
        <w:t>R</w:t>
      </w:r>
      <w:r w:rsidRPr="00B46088">
        <w:t xml:space="preserve">eport </w:t>
      </w:r>
      <w:r w:rsidR="005C5D39">
        <w:t xml:space="preserve">on </w:t>
      </w:r>
      <w:r w:rsidR="00E527D5">
        <w:t>S</w:t>
      </w:r>
      <w:r w:rsidR="005C5D39">
        <w:t xml:space="preserve">tudent </w:t>
      </w:r>
      <w:r w:rsidR="00E527D5">
        <w:t>P</w:t>
      </w:r>
      <w:r w:rsidR="005C5D39">
        <w:t>erformance (SACE</w:t>
      </w:r>
      <w:r w:rsidR="000A77B4">
        <w:t xml:space="preserve"> Board</w:t>
      </w:r>
      <w:r w:rsidR="005C5D39">
        <w:t xml:space="preserve"> form available)</w:t>
      </w:r>
      <w:r w:rsidR="009B4B14">
        <w:t>.</w:t>
      </w:r>
    </w:p>
    <w:p w:rsidR="002A573E" w:rsidRPr="00B46088" w:rsidRDefault="002A573E" w:rsidP="002A573E">
      <w:pPr>
        <w:pStyle w:val="BodyText1"/>
      </w:pPr>
      <w:r w:rsidRPr="00B46088">
        <w:t xml:space="preserve">It is a requirement that teachers use the relevant </w:t>
      </w:r>
      <w:hyperlink r:id="rId13" w:history="1">
        <w:r w:rsidRPr="00FC7F1D">
          <w:rPr>
            <w:rStyle w:val="Hyperlink"/>
          </w:rPr>
          <w:t>SACE Board forms</w:t>
        </w:r>
      </w:hyperlink>
      <w:r w:rsidRPr="00B46088">
        <w:t xml:space="preserve"> rather than creating </w:t>
      </w:r>
      <w:r w:rsidR="009B4B14">
        <w:t xml:space="preserve">their </w:t>
      </w:r>
      <w:r w:rsidR="00B23282">
        <w:t>own templates.</w:t>
      </w:r>
    </w:p>
    <w:p w:rsidR="002A573E" w:rsidRPr="00B46088" w:rsidRDefault="002A573E" w:rsidP="00792429">
      <w:pPr>
        <w:pStyle w:val="BodyText1"/>
      </w:pPr>
      <w:proofErr w:type="gramStart"/>
      <w:r>
        <w:t>Students performing well in this area</w:t>
      </w:r>
      <w:r w:rsidR="00F50F4D">
        <w:t xml:space="preserve"> </w:t>
      </w:r>
      <w:r w:rsidRPr="00B46088">
        <w:t>were</w:t>
      </w:r>
      <w:r>
        <w:t xml:space="preserve"> generally</w:t>
      </w:r>
      <w:r w:rsidRPr="00B46088">
        <w:t xml:space="preserve"> provided with guidance by the teacher</w:t>
      </w:r>
      <w:r w:rsidR="00F50F4D">
        <w:t xml:space="preserve"> </w:t>
      </w:r>
      <w:r>
        <w:t>such as a work log</w:t>
      </w:r>
      <w:r w:rsidRPr="00B46088">
        <w:t xml:space="preserve"> template</w:t>
      </w:r>
      <w:proofErr w:type="gramEnd"/>
      <w:r>
        <w:t>,</w:t>
      </w:r>
      <w:r w:rsidRPr="00B46088">
        <w:t xml:space="preserve"> but </w:t>
      </w:r>
      <w:r w:rsidR="009B4B14">
        <w:t>highly</w:t>
      </w:r>
      <w:r w:rsidRPr="00B46088">
        <w:t xml:space="preserve"> structured journals </w:t>
      </w:r>
      <w:r>
        <w:t>generally did</w:t>
      </w:r>
      <w:r w:rsidRPr="00B46088">
        <w:t xml:space="preserve"> not allow students to </w:t>
      </w:r>
      <w:r w:rsidR="009B4B14">
        <w:t xml:space="preserve">achieve at the higher </w:t>
      </w:r>
      <w:r w:rsidR="00792429">
        <w:t>grades</w:t>
      </w:r>
      <w:r w:rsidR="009B4B14">
        <w:t xml:space="preserve"> of</w:t>
      </w:r>
      <w:r w:rsidR="009B4B14" w:rsidRPr="00B46088">
        <w:t xml:space="preserve"> </w:t>
      </w:r>
      <w:r w:rsidRPr="00B46088">
        <w:t xml:space="preserve">the </w:t>
      </w:r>
      <w:r>
        <w:t>performance</w:t>
      </w:r>
      <w:r w:rsidRPr="00B46088">
        <w:t xml:space="preserve"> standard</w:t>
      </w:r>
      <w:r w:rsidR="00B23282">
        <w:t>s.</w:t>
      </w:r>
    </w:p>
    <w:p w:rsidR="002A573E" w:rsidRDefault="002A573E" w:rsidP="00BF497A">
      <w:pPr>
        <w:pStyle w:val="BodyText1"/>
        <w:rPr>
          <w:b/>
        </w:rPr>
      </w:pPr>
      <w:r>
        <w:t>I</w:t>
      </w:r>
      <w:r w:rsidRPr="00B46088">
        <w:t xml:space="preserve">t </w:t>
      </w:r>
      <w:proofErr w:type="gramStart"/>
      <w:r w:rsidRPr="00B46088">
        <w:t>was also noted</w:t>
      </w:r>
      <w:proofErr w:type="gramEnd"/>
      <w:r w:rsidRPr="00B46088">
        <w:t xml:space="preserve"> at moderation that some students were asked to complete a significant number of hours over the allocated 50</w:t>
      </w:r>
      <w:r w:rsidR="009B4B14">
        <w:t>–</w:t>
      </w:r>
      <w:r w:rsidRPr="00B46088">
        <w:t xml:space="preserve">60 hours </w:t>
      </w:r>
      <w:r w:rsidR="005C5D39">
        <w:t xml:space="preserve">for </w:t>
      </w:r>
      <w:r w:rsidR="00BF497A">
        <w:t>the</w:t>
      </w:r>
      <w:r w:rsidR="005C5D39">
        <w:t xml:space="preserve"> 20-credit </w:t>
      </w:r>
      <w:r w:rsidR="009B4B14">
        <w:t>subject</w:t>
      </w:r>
      <w:r w:rsidR="00BF497A">
        <w:t>.</w:t>
      </w:r>
      <w:r w:rsidRPr="00B46088">
        <w:t xml:space="preserve"> </w:t>
      </w:r>
      <w:r w:rsidR="00BF497A">
        <w:t>Q</w:t>
      </w:r>
      <w:r w:rsidRPr="00B46088">
        <w:t>uite often</w:t>
      </w:r>
      <w:r w:rsidR="009B4B14">
        <w:t xml:space="preserve"> students undertook</w:t>
      </w:r>
      <w:r w:rsidRPr="00B46088">
        <w:t xml:space="preserve"> VET </w:t>
      </w:r>
      <w:r w:rsidR="005C5D39">
        <w:t>u</w:t>
      </w:r>
      <w:r w:rsidRPr="00B46088">
        <w:t xml:space="preserve">nits </w:t>
      </w:r>
      <w:r w:rsidR="005C5D39">
        <w:t>as well as</w:t>
      </w:r>
      <w:r w:rsidRPr="00B46088">
        <w:t xml:space="preserve"> </w:t>
      </w:r>
      <w:r w:rsidR="005C5D39">
        <w:t>w</w:t>
      </w:r>
      <w:r w:rsidRPr="00B46088">
        <w:t xml:space="preserve">ork </w:t>
      </w:r>
      <w:r w:rsidR="005C5D39">
        <w:t>e</w:t>
      </w:r>
      <w:r w:rsidRPr="00B46088">
        <w:t>xperience. In many cases these students were penalised for completing only one</w:t>
      </w:r>
      <w:r w:rsidR="005C5D39">
        <w:t xml:space="preserve"> portfolio</w:t>
      </w:r>
      <w:r w:rsidRPr="00B46088">
        <w:t xml:space="preserve">, despite the </w:t>
      </w:r>
      <w:r w:rsidR="005C5D39">
        <w:t>requirement of 50</w:t>
      </w:r>
      <w:r w:rsidR="009B4B14">
        <w:t>–</w:t>
      </w:r>
      <w:r w:rsidR="005C5D39">
        <w:t>60</w:t>
      </w:r>
      <w:r w:rsidRPr="00B46088">
        <w:t xml:space="preserve"> hours being</w:t>
      </w:r>
      <w:r>
        <w:t xml:space="preserve"> reached.</w:t>
      </w:r>
      <w:r w:rsidR="003C51CE">
        <w:t xml:space="preserve"> </w:t>
      </w:r>
      <w:r w:rsidR="009B4B14">
        <w:t>T</w:t>
      </w:r>
      <w:r>
        <w:t xml:space="preserve">eachers are encouraged to refer to the </w:t>
      </w:r>
      <w:r w:rsidR="003C51CE">
        <w:t>s</w:t>
      </w:r>
      <w:r>
        <w:t xml:space="preserve">ubject </w:t>
      </w:r>
      <w:r w:rsidR="003C51CE">
        <w:t>o</w:t>
      </w:r>
      <w:r>
        <w:t xml:space="preserve">utline for clarification of the </w:t>
      </w:r>
      <w:r w:rsidR="003C51CE">
        <w:t>a</w:t>
      </w:r>
      <w:r>
        <w:t xml:space="preserve">ssessment </w:t>
      </w:r>
      <w:r w:rsidR="003C51CE">
        <w:t>d</w:t>
      </w:r>
      <w:r>
        <w:t xml:space="preserve">esign </w:t>
      </w:r>
      <w:r w:rsidR="003C51CE">
        <w:t>c</w:t>
      </w:r>
      <w:r w:rsidR="00B23282">
        <w:t>riteria.</w:t>
      </w:r>
    </w:p>
    <w:p w:rsidR="00381611" w:rsidRDefault="002A573E" w:rsidP="00BF497A">
      <w:pPr>
        <w:pStyle w:val="BodyText1"/>
      </w:pPr>
      <w:r w:rsidRPr="00835E36">
        <w:t xml:space="preserve">There were a small number of students who did not demonstrate learning </w:t>
      </w:r>
      <w:r>
        <w:t xml:space="preserve">for </w:t>
      </w:r>
      <w:r w:rsidRPr="00835E36">
        <w:t xml:space="preserve">the minimum hours required for this </w:t>
      </w:r>
      <w:r w:rsidR="003C51CE">
        <w:t>a</w:t>
      </w:r>
      <w:r w:rsidRPr="00835E36">
        <w:t xml:space="preserve">ssessment </w:t>
      </w:r>
      <w:r w:rsidR="003C51CE">
        <w:t>t</w:t>
      </w:r>
      <w:r w:rsidRPr="00835E36">
        <w:t>ype</w:t>
      </w:r>
      <w:r w:rsidR="00BF497A">
        <w:t>.</w:t>
      </w:r>
      <w:r w:rsidRPr="00835E36">
        <w:t xml:space="preserve"> </w:t>
      </w:r>
      <w:r w:rsidR="00BF497A">
        <w:t>I</w:t>
      </w:r>
      <w:r w:rsidRPr="00835E36">
        <w:t>n these instances assessment decisions were not able to be confirmed. If a student is unable or unwilling to complete the required hours,</w:t>
      </w:r>
      <w:r w:rsidR="009B4B14">
        <w:t xml:space="preserve"> </w:t>
      </w:r>
      <w:r w:rsidR="00381611">
        <w:t xml:space="preserve">this should be </w:t>
      </w:r>
      <w:r w:rsidR="00D81147">
        <w:t>included i</w:t>
      </w:r>
      <w:r w:rsidR="00381611">
        <w:t xml:space="preserve">n the </w:t>
      </w:r>
      <w:r w:rsidR="00931633">
        <w:t>‘</w:t>
      </w:r>
      <w:r w:rsidR="00D81147">
        <w:t>T</w:t>
      </w:r>
      <w:r w:rsidR="00381611">
        <w:t xml:space="preserve">eacher’s </w:t>
      </w:r>
      <w:r w:rsidR="00D81147">
        <w:t>R</w:t>
      </w:r>
      <w:r w:rsidR="00381611">
        <w:t xml:space="preserve">eport on </w:t>
      </w:r>
      <w:r w:rsidR="00D81147">
        <w:t>S</w:t>
      </w:r>
      <w:r w:rsidR="00381611">
        <w:t xml:space="preserve">tudent </w:t>
      </w:r>
      <w:r w:rsidR="00D81147">
        <w:t>P</w:t>
      </w:r>
      <w:r w:rsidR="00381611">
        <w:t>erformance</w:t>
      </w:r>
      <w:r w:rsidR="00931633">
        <w:t>’</w:t>
      </w:r>
      <w:r w:rsidR="00381611">
        <w:t xml:space="preserve"> form (including confirmation of any hours the student did actually complete), and </w:t>
      </w:r>
      <w:r w:rsidR="009B4B14">
        <w:t>student achievement should be</w:t>
      </w:r>
      <w:r w:rsidRPr="00835E36">
        <w:t xml:space="preserve"> </w:t>
      </w:r>
      <w:r w:rsidR="009B4B14" w:rsidRPr="00835E36">
        <w:t>grade</w:t>
      </w:r>
      <w:r w:rsidR="009B4B14">
        <w:t>d</w:t>
      </w:r>
      <w:r w:rsidR="009B4B14" w:rsidRPr="00835E36">
        <w:t xml:space="preserve"> </w:t>
      </w:r>
      <w:r w:rsidRPr="00835E36">
        <w:t>accordingly</w:t>
      </w:r>
      <w:r w:rsidR="00381611">
        <w:t>.</w:t>
      </w:r>
      <w:r>
        <w:t xml:space="preserve"> </w:t>
      </w:r>
    </w:p>
    <w:p w:rsidR="002A573E" w:rsidRPr="00835E36" w:rsidRDefault="006C26C7" w:rsidP="00BF497A">
      <w:pPr>
        <w:pStyle w:val="BodyText1"/>
      </w:pPr>
      <w:r>
        <w:t>H</w:t>
      </w:r>
      <w:r w:rsidR="002A573E">
        <w:t xml:space="preserve">owever, </w:t>
      </w:r>
      <w:r>
        <w:t xml:space="preserve">it is </w:t>
      </w:r>
      <w:r w:rsidR="002A573E">
        <w:t xml:space="preserve">important to note that </w:t>
      </w:r>
      <w:r>
        <w:t xml:space="preserve">if </w:t>
      </w:r>
      <w:r w:rsidR="002A573E">
        <w:t xml:space="preserve">students fail to provide the teacher </w:t>
      </w:r>
      <w:r>
        <w:t xml:space="preserve">with </w:t>
      </w:r>
      <w:r w:rsidR="002A573E">
        <w:t xml:space="preserve">adequate evidence of their learning (log book, </w:t>
      </w:r>
      <w:r w:rsidR="00BF497A">
        <w:t>Workplace S</w:t>
      </w:r>
      <w:r>
        <w:t xml:space="preserve">upervisor’s </w:t>
      </w:r>
      <w:r w:rsidR="00BF497A">
        <w:t>R</w:t>
      </w:r>
      <w:r>
        <w:t>eport</w:t>
      </w:r>
      <w:r w:rsidR="002A573E">
        <w:t xml:space="preserve">, etc.) </w:t>
      </w:r>
      <w:r>
        <w:t>it</w:t>
      </w:r>
      <w:r w:rsidRPr="00835E36">
        <w:t xml:space="preserve"> </w:t>
      </w:r>
      <w:r w:rsidR="002A573E" w:rsidRPr="00835E36">
        <w:t>is not</w:t>
      </w:r>
      <w:r w:rsidR="002A573E">
        <w:t xml:space="preserve"> grounds for</w:t>
      </w:r>
      <w:r w:rsidR="002A573E" w:rsidRPr="00835E36">
        <w:t xml:space="preserve"> an ‘incomplete’</w:t>
      </w:r>
      <w:r w:rsidR="002A573E">
        <w:t xml:space="preserve"> grade. Teachers are able to record their conversations with employers, supervisors</w:t>
      </w:r>
      <w:r>
        <w:t>,</w:t>
      </w:r>
      <w:r w:rsidR="002A573E">
        <w:t xml:space="preserve"> and trainers on the </w:t>
      </w:r>
      <w:r w:rsidR="00931633">
        <w:t>‘</w:t>
      </w:r>
      <w:r w:rsidR="00D81147">
        <w:t>T</w:t>
      </w:r>
      <w:r>
        <w:t xml:space="preserve">eacher’s </w:t>
      </w:r>
      <w:r w:rsidR="00D81147">
        <w:t>R</w:t>
      </w:r>
      <w:r w:rsidR="005C5D39">
        <w:t xml:space="preserve">eport on </w:t>
      </w:r>
      <w:r w:rsidR="00D81147">
        <w:t>St</w:t>
      </w:r>
      <w:r w:rsidR="005C5D39">
        <w:t xml:space="preserve">udent </w:t>
      </w:r>
      <w:r w:rsidR="00D81147">
        <w:t>P</w:t>
      </w:r>
      <w:r w:rsidR="005C5D39">
        <w:t>erformance</w:t>
      </w:r>
      <w:r w:rsidR="00931633">
        <w:t>’</w:t>
      </w:r>
      <w:r w:rsidR="005C5D39">
        <w:t xml:space="preserve"> </w:t>
      </w:r>
      <w:r w:rsidR="00424699">
        <w:t xml:space="preserve">form </w:t>
      </w:r>
      <w:r w:rsidR="002A573E">
        <w:t>and, although assessment decisions are adjusted accordingly, students should be given some credit for work completed.</w:t>
      </w:r>
    </w:p>
    <w:p w:rsidR="002A573E" w:rsidRDefault="002A573E" w:rsidP="00E527D5">
      <w:pPr>
        <w:pStyle w:val="BodyText1"/>
        <w:rPr>
          <w:b/>
        </w:rPr>
      </w:pPr>
      <w:r>
        <w:t xml:space="preserve">Therefore, the </w:t>
      </w:r>
      <w:r w:rsidR="00931633">
        <w:t>‘</w:t>
      </w:r>
      <w:r w:rsidR="00E527D5">
        <w:t>T</w:t>
      </w:r>
      <w:r w:rsidR="006C26C7">
        <w:t xml:space="preserve">eacher’s </w:t>
      </w:r>
      <w:r w:rsidR="00E527D5">
        <w:t>R</w:t>
      </w:r>
      <w:r w:rsidR="006C26C7">
        <w:t xml:space="preserve">eport on </w:t>
      </w:r>
      <w:r w:rsidR="00E527D5">
        <w:t>S</w:t>
      </w:r>
      <w:r w:rsidR="006C26C7">
        <w:t xml:space="preserve">tudent </w:t>
      </w:r>
      <w:r w:rsidR="00E527D5">
        <w:t>P</w:t>
      </w:r>
      <w:r w:rsidR="006C26C7">
        <w:t>erformance</w:t>
      </w:r>
      <w:r w:rsidR="00931633">
        <w:t>’</w:t>
      </w:r>
      <w:r w:rsidR="00424699">
        <w:t xml:space="preserve"> form</w:t>
      </w:r>
      <w:r w:rsidR="0075556F">
        <w:t xml:space="preserve">, for either </w:t>
      </w:r>
      <w:r w:rsidR="00B23282">
        <w:t>v</w:t>
      </w:r>
      <w:r>
        <w:t xml:space="preserve">ocational </w:t>
      </w:r>
      <w:r w:rsidR="00B23282">
        <w:t>l</w:t>
      </w:r>
      <w:r>
        <w:t>earning or VET</w:t>
      </w:r>
      <w:r w:rsidR="0075556F">
        <w:t>,</w:t>
      </w:r>
      <w:r>
        <w:t xml:space="preserve"> is fundamental to this </w:t>
      </w:r>
      <w:r w:rsidR="003C51CE">
        <w:t>a</w:t>
      </w:r>
      <w:r>
        <w:t xml:space="preserve">ssessment </w:t>
      </w:r>
      <w:r w:rsidR="003C51CE">
        <w:t>t</w:t>
      </w:r>
      <w:r>
        <w:t xml:space="preserve">ype and must be completed for each student. These official </w:t>
      </w:r>
      <w:r w:rsidR="000A77B4">
        <w:t xml:space="preserve">forms </w:t>
      </w:r>
      <w:r>
        <w:t>allow teachers to describe exactly the context for learning</w:t>
      </w:r>
      <w:r w:rsidR="006C26C7">
        <w:t xml:space="preserve"> and </w:t>
      </w:r>
      <w:r>
        <w:t>the hours completed</w:t>
      </w:r>
      <w:r w:rsidR="006C26C7">
        <w:t>,</w:t>
      </w:r>
      <w:r>
        <w:t xml:space="preserve"> and provide the opportunity for teachers to explain their assessment decisions. When coupled wi</w:t>
      </w:r>
      <w:r w:rsidR="0075556F">
        <w:t xml:space="preserve">th </w:t>
      </w:r>
      <w:r w:rsidR="006C26C7">
        <w:t xml:space="preserve">a </w:t>
      </w:r>
      <w:r w:rsidR="00E527D5">
        <w:t>W</w:t>
      </w:r>
      <w:r w:rsidR="006C26C7">
        <w:t xml:space="preserve">orkplace </w:t>
      </w:r>
      <w:r w:rsidR="00E527D5">
        <w:t>S</w:t>
      </w:r>
      <w:r w:rsidR="006C26C7">
        <w:t xml:space="preserve">upervisor’s </w:t>
      </w:r>
      <w:r w:rsidR="00E527D5">
        <w:t>R</w:t>
      </w:r>
      <w:r w:rsidR="006C26C7">
        <w:t xml:space="preserve">eport </w:t>
      </w:r>
      <w:r w:rsidR="0075556F">
        <w:t>(or the Statement of Attainment for the VET units)</w:t>
      </w:r>
      <w:r w:rsidR="006C26C7">
        <w:t>,</w:t>
      </w:r>
      <w:r>
        <w:t xml:space="preserve"> these forms provide an invaluable insight into t</w:t>
      </w:r>
      <w:r w:rsidR="00796AB0">
        <w:t>he performance of each student.</w:t>
      </w:r>
    </w:p>
    <w:p w:rsidR="002A573E" w:rsidRDefault="002A573E" w:rsidP="007D6913">
      <w:pPr>
        <w:pStyle w:val="BodyText1"/>
        <w:rPr>
          <w:b/>
        </w:rPr>
      </w:pPr>
      <w:r>
        <w:t xml:space="preserve">In addition to students demonstrating the requisite number of hours for this </w:t>
      </w:r>
      <w:r w:rsidR="003C51CE">
        <w:t>a</w:t>
      </w:r>
      <w:r>
        <w:t xml:space="preserve">ssessment </w:t>
      </w:r>
      <w:r w:rsidR="003C51CE">
        <w:t>t</w:t>
      </w:r>
      <w:r>
        <w:t xml:space="preserve">ype, it is essential that they </w:t>
      </w:r>
      <w:r w:rsidRPr="008F5C2E">
        <w:t>demonstrate their knowledge and understanding and application. This can only be achieved through</w:t>
      </w:r>
      <w:r>
        <w:t xml:space="preserve"> the provision of evidence in </w:t>
      </w:r>
      <w:r w:rsidR="00424699">
        <w:t xml:space="preserve">a portfolio or other </w:t>
      </w:r>
      <w:r>
        <w:t>acceptable format</w:t>
      </w:r>
      <w:r w:rsidR="000A77B4">
        <w:t>,</w:t>
      </w:r>
      <w:r>
        <w:t xml:space="preserve"> such as</w:t>
      </w:r>
      <w:r w:rsidRPr="008F5C2E">
        <w:t xml:space="preserve"> </w:t>
      </w:r>
      <w:r w:rsidR="000A77B4">
        <w:t xml:space="preserve">a </w:t>
      </w:r>
      <w:proofErr w:type="spellStart"/>
      <w:r w:rsidRPr="008F5C2E">
        <w:t>photostory</w:t>
      </w:r>
      <w:proofErr w:type="spellEnd"/>
      <w:r w:rsidRPr="008F5C2E">
        <w:t xml:space="preserve"> with captions, </w:t>
      </w:r>
      <w:r>
        <w:t xml:space="preserve">a log of learning tasks and application of skills, an </w:t>
      </w:r>
      <w:r w:rsidRPr="008F5C2E">
        <w:t xml:space="preserve">oral discussion with </w:t>
      </w:r>
      <w:r>
        <w:t xml:space="preserve">the </w:t>
      </w:r>
      <w:r w:rsidRPr="008F5C2E">
        <w:t>teacher</w:t>
      </w:r>
      <w:r w:rsidR="000A77B4">
        <w:t>,</w:t>
      </w:r>
      <w:r w:rsidRPr="008F5C2E">
        <w:t xml:space="preserve"> or </w:t>
      </w:r>
      <w:r w:rsidR="00786F30">
        <w:t>a</w:t>
      </w:r>
      <w:r w:rsidRPr="008F5C2E">
        <w:t xml:space="preserve"> recording </w:t>
      </w:r>
      <w:r w:rsidR="000A77B4">
        <w:t>that demonstrates</w:t>
      </w:r>
      <w:r w:rsidR="000A77B4" w:rsidRPr="008F5C2E">
        <w:t xml:space="preserve"> </w:t>
      </w:r>
      <w:r w:rsidRPr="008F5C2E">
        <w:t xml:space="preserve">what the student has gained through </w:t>
      </w:r>
      <w:r w:rsidR="00786F30">
        <w:t>his or her</w:t>
      </w:r>
      <w:r w:rsidRPr="008F5C2E">
        <w:t xml:space="preserve"> </w:t>
      </w:r>
      <w:r w:rsidR="00B23282">
        <w:t>v</w:t>
      </w:r>
      <w:r w:rsidR="000A77B4" w:rsidRPr="008F5C2E">
        <w:t xml:space="preserve">ocational </w:t>
      </w:r>
      <w:r w:rsidR="00B23282">
        <w:t>l</w:t>
      </w:r>
      <w:r w:rsidR="000A77B4" w:rsidRPr="008F5C2E">
        <w:t>earning</w:t>
      </w:r>
      <w:r>
        <w:t>.</w:t>
      </w:r>
      <w:r w:rsidRPr="00E17330">
        <w:t xml:space="preserve"> </w:t>
      </w:r>
      <w:r w:rsidRPr="00E17330">
        <w:rPr>
          <w:rFonts w:eastAsia="Calibri"/>
        </w:rPr>
        <w:t>Some teachers provided scaffolding in a booklet style for students to use to report on their workplace learning. This can be useful for some students but may also restrict achievement for others, especially if this discourages detailed and informative responses.</w:t>
      </w:r>
    </w:p>
    <w:p w:rsidR="00877FFC" w:rsidRDefault="00877FFC">
      <w:pPr>
        <w:rPr>
          <w:rFonts w:ascii="Arial" w:hAnsi="Arial"/>
        </w:rPr>
      </w:pPr>
      <w:r>
        <w:br w:type="page"/>
      </w:r>
    </w:p>
    <w:p w:rsidR="002A573E" w:rsidRDefault="002A573E" w:rsidP="00786F30">
      <w:pPr>
        <w:pStyle w:val="BodyText1"/>
        <w:rPr>
          <w:b/>
        </w:rPr>
      </w:pPr>
      <w:r>
        <w:lastRenderedPageBreak/>
        <w:t xml:space="preserve">Where students are using evidence of </w:t>
      </w:r>
      <w:r w:rsidR="00B23282">
        <w:t xml:space="preserve">performance </w:t>
      </w:r>
      <w:r w:rsidR="00877FFC">
        <w:t>through VET u</w:t>
      </w:r>
      <w:r>
        <w:t xml:space="preserve">nits of </w:t>
      </w:r>
      <w:r w:rsidR="00B23282">
        <w:t>competency</w:t>
      </w:r>
      <w:r>
        <w:t xml:space="preserve">, </w:t>
      </w:r>
      <w:r w:rsidR="00B23282">
        <w:t>they are still required to</w:t>
      </w:r>
      <w:r>
        <w:t xml:space="preserve"> produce evidence beyond the </w:t>
      </w:r>
      <w:r w:rsidR="00786F30">
        <w:t>S</w:t>
      </w:r>
      <w:r>
        <w:t xml:space="preserve">tatement of </w:t>
      </w:r>
      <w:r w:rsidR="00786F30">
        <w:t>A</w:t>
      </w:r>
      <w:r>
        <w:t xml:space="preserve">ttainment from the </w:t>
      </w:r>
      <w:r w:rsidR="00B23282">
        <w:t xml:space="preserve">registered training organisation </w:t>
      </w:r>
      <w:r>
        <w:t>or</w:t>
      </w:r>
      <w:r w:rsidR="00B23282">
        <w:t xml:space="preserve"> a</w:t>
      </w:r>
      <w:r>
        <w:t xml:space="preserve"> letter from the principal</w:t>
      </w:r>
      <w:r w:rsidR="00BB640B">
        <w:t xml:space="preserve"> in the form of a portfolio</w:t>
      </w:r>
      <w:r>
        <w:t>. Where a Statement of Attainment was the only evidence provided</w:t>
      </w:r>
      <w:r w:rsidR="00786F30">
        <w:t>,</w:t>
      </w:r>
      <w:r>
        <w:t xml:space="preserve"> moderators were unable to confir</w:t>
      </w:r>
      <w:r w:rsidR="00B23282">
        <w:t>m teacher</w:t>
      </w:r>
      <w:r w:rsidR="00786F30">
        <w:t>s’</w:t>
      </w:r>
      <w:r w:rsidR="00B23282">
        <w:t xml:space="preserve"> assessment decisions.</w:t>
      </w:r>
    </w:p>
    <w:p w:rsidR="0075556F" w:rsidRDefault="002A573E" w:rsidP="009A196A">
      <w:pPr>
        <w:pStyle w:val="BodyText1"/>
      </w:pPr>
      <w:r>
        <w:t xml:space="preserve">Finally, it is not acceptable for students to use </w:t>
      </w:r>
      <w:r w:rsidR="009A196A">
        <w:t xml:space="preserve">a reflection </w:t>
      </w:r>
      <w:r>
        <w:t xml:space="preserve">on their </w:t>
      </w:r>
      <w:r w:rsidR="009A196A">
        <w:t xml:space="preserve">work experience </w:t>
      </w:r>
      <w:r>
        <w:t>(used for Assessment Type</w:t>
      </w:r>
      <w:r w:rsidR="009A196A">
        <w:t xml:space="preserve"> 3</w:t>
      </w:r>
      <w:r>
        <w:t xml:space="preserve">: Reflection) as evidence of learning in </w:t>
      </w:r>
      <w:r w:rsidR="009A196A">
        <w:t>A</w:t>
      </w:r>
      <w:r w:rsidR="0075556F">
        <w:t xml:space="preserve">ssessment </w:t>
      </w:r>
      <w:r w:rsidR="009A196A">
        <w:t>Type 2:</w:t>
      </w:r>
      <w:r w:rsidR="0075556F">
        <w:t xml:space="preserve"> Perfo</w:t>
      </w:r>
      <w:r w:rsidR="003C51CE">
        <w:t>r</w:t>
      </w:r>
      <w:r w:rsidR="0075556F">
        <w:t>mance</w:t>
      </w:r>
      <w:r>
        <w:t>.</w:t>
      </w:r>
      <w:r w:rsidR="003C51CE">
        <w:t xml:space="preserve"> </w:t>
      </w:r>
      <w:r>
        <w:t>Where this was evident, moderators were only able to confirm teacher</w:t>
      </w:r>
      <w:r w:rsidR="009A196A">
        <w:t>s’ assessment decisions</w:t>
      </w:r>
      <w:r>
        <w:t xml:space="preserve"> f</w:t>
      </w:r>
      <w:r w:rsidR="00796AB0">
        <w:t>or one of the assessment types.</w:t>
      </w:r>
    </w:p>
    <w:p w:rsidR="001A0F23" w:rsidRPr="00D108CB" w:rsidRDefault="001A0F23" w:rsidP="001A0F23">
      <w:pPr>
        <w:pStyle w:val="AssessmentTypeHeading"/>
      </w:pPr>
      <w:r w:rsidRPr="00D108CB">
        <w:t>Assessment Type 3:</w:t>
      </w:r>
      <w:r w:rsidRPr="00F02D47">
        <w:t xml:space="preserve"> </w:t>
      </w:r>
      <w:r w:rsidR="0052489E">
        <w:t>Reflection</w:t>
      </w:r>
    </w:p>
    <w:p w:rsidR="00424699" w:rsidRDefault="002A573E" w:rsidP="00BF497A">
      <w:pPr>
        <w:pStyle w:val="BodyText1"/>
      </w:pPr>
      <w:r w:rsidRPr="0075556F">
        <w:t xml:space="preserve">For this </w:t>
      </w:r>
      <w:r w:rsidR="003C51CE">
        <w:t>a</w:t>
      </w:r>
      <w:r w:rsidRPr="0075556F">
        <w:t xml:space="preserve">ssessment </w:t>
      </w:r>
      <w:r w:rsidR="003C51CE">
        <w:t>t</w:t>
      </w:r>
      <w:r w:rsidRPr="0075556F">
        <w:t xml:space="preserve">ype, </w:t>
      </w:r>
      <w:r w:rsidR="00BF497A">
        <w:t>students</w:t>
      </w:r>
      <w:r w:rsidR="00BF497A" w:rsidRPr="00BF497A">
        <w:t xml:space="preserve"> </w:t>
      </w:r>
      <w:r w:rsidR="00BF497A" w:rsidRPr="00B46088">
        <w:t xml:space="preserve">must include </w:t>
      </w:r>
      <w:r w:rsidR="00BF497A">
        <w:t>at least two</w:t>
      </w:r>
      <w:r w:rsidR="00BF497A" w:rsidRPr="00B46088">
        <w:t xml:space="preserve"> reflection tasks</w:t>
      </w:r>
      <w:r w:rsidR="00BF497A" w:rsidRPr="0075556F">
        <w:t xml:space="preserve"> </w:t>
      </w:r>
      <w:r w:rsidR="00BF497A">
        <w:t xml:space="preserve">for </w:t>
      </w:r>
      <w:r w:rsidRPr="0075556F">
        <w:t>the 20-credit</w:t>
      </w:r>
      <w:r w:rsidRPr="00B46088">
        <w:t xml:space="preserve"> </w:t>
      </w:r>
      <w:r w:rsidR="00BF497A">
        <w:t>subject</w:t>
      </w:r>
      <w:r w:rsidRPr="00B46088">
        <w:t xml:space="preserve"> and </w:t>
      </w:r>
      <w:r>
        <w:t xml:space="preserve">at least </w:t>
      </w:r>
      <w:r w:rsidRPr="00B46088">
        <w:t xml:space="preserve">one </w:t>
      </w:r>
      <w:r w:rsidR="003C51CE">
        <w:t>r</w:t>
      </w:r>
      <w:r w:rsidR="00796AB0">
        <w:t>eflection task</w:t>
      </w:r>
      <w:r w:rsidR="00BF497A">
        <w:t xml:space="preserve"> for</w:t>
      </w:r>
      <w:r w:rsidR="00BF497A" w:rsidRPr="00BF497A">
        <w:t xml:space="preserve"> </w:t>
      </w:r>
      <w:r w:rsidR="00BF497A" w:rsidRPr="00B46088">
        <w:t>the 10</w:t>
      </w:r>
      <w:r w:rsidR="00BF497A">
        <w:t>-c</w:t>
      </w:r>
      <w:r w:rsidR="00BF497A" w:rsidRPr="00B46088">
        <w:t xml:space="preserve">redit </w:t>
      </w:r>
      <w:r w:rsidR="00BF497A">
        <w:t>subject</w:t>
      </w:r>
      <w:r w:rsidR="00796AB0">
        <w:t>.</w:t>
      </w:r>
    </w:p>
    <w:p w:rsidR="002A573E" w:rsidRPr="00B46088" w:rsidRDefault="002A573E" w:rsidP="00E57FFA">
      <w:pPr>
        <w:pStyle w:val="BodyText1"/>
        <w:spacing w:after="0"/>
        <w:rPr>
          <w:b/>
        </w:rPr>
      </w:pPr>
      <w:r>
        <w:t xml:space="preserve">Students provide evidence </w:t>
      </w:r>
      <w:r w:rsidRPr="00B46088">
        <w:t xml:space="preserve">of their learning in relation to the </w:t>
      </w:r>
      <w:r w:rsidR="00BF497A">
        <w:t xml:space="preserve">following </w:t>
      </w:r>
      <w:r w:rsidR="003C51CE">
        <w:t>a</w:t>
      </w:r>
      <w:r w:rsidRPr="00B46088">
        <w:t xml:space="preserve">ssessment </w:t>
      </w:r>
      <w:r w:rsidR="003C51CE">
        <w:t>d</w:t>
      </w:r>
      <w:r w:rsidRPr="00B46088">
        <w:t xml:space="preserve">esign </w:t>
      </w:r>
      <w:r w:rsidR="003C51CE">
        <w:t>c</w:t>
      </w:r>
      <w:r w:rsidRPr="00B46088">
        <w:t>riteria:</w:t>
      </w:r>
    </w:p>
    <w:p w:rsidR="002A573E" w:rsidRPr="00B46088" w:rsidRDefault="002A573E" w:rsidP="002A573E">
      <w:pPr>
        <w:pStyle w:val="dotpoints"/>
      </w:pPr>
      <w:r w:rsidRPr="00B46088">
        <w:t>knowledge and understanding</w:t>
      </w:r>
    </w:p>
    <w:p w:rsidR="002A573E" w:rsidRPr="00B46088" w:rsidRDefault="002A573E" w:rsidP="002A573E">
      <w:pPr>
        <w:pStyle w:val="dotpoints"/>
      </w:pPr>
      <w:r w:rsidRPr="00B46088">
        <w:t>investigation and analysis</w:t>
      </w:r>
    </w:p>
    <w:p w:rsidR="002A573E" w:rsidRDefault="002A573E" w:rsidP="002A573E">
      <w:pPr>
        <w:pStyle w:val="dotpoints"/>
      </w:pPr>
      <w:proofErr w:type="gramStart"/>
      <w:r w:rsidRPr="00B46088">
        <w:t>reflection</w:t>
      </w:r>
      <w:proofErr w:type="gramEnd"/>
      <w:r w:rsidRPr="00B46088">
        <w:t xml:space="preserve"> and evaluation.</w:t>
      </w:r>
    </w:p>
    <w:p w:rsidR="0075556F" w:rsidRDefault="002B4503" w:rsidP="00BF497A">
      <w:pPr>
        <w:pStyle w:val="BodyText1"/>
      </w:pPr>
      <w:r w:rsidRPr="00B46088">
        <w:t xml:space="preserve">Reflections can be personal (what the student has gained from their learning experiences) </w:t>
      </w:r>
      <w:r>
        <w:t xml:space="preserve">or </w:t>
      </w:r>
      <w:r w:rsidRPr="00B46088">
        <w:t>work oriented (reflecting on how the workplace itself contributed to their learning).</w:t>
      </w:r>
      <w:r>
        <w:t xml:space="preserve"> </w:t>
      </w:r>
      <w:r w:rsidR="002A573E">
        <w:t>Moderators noted that</w:t>
      </w:r>
      <w:r w:rsidR="007D6913">
        <w:t>,</w:t>
      </w:r>
      <w:r w:rsidR="002A573E">
        <w:t xml:space="preserve"> this year</w:t>
      </w:r>
      <w:r w:rsidR="007D6913">
        <w:t>,</w:t>
      </w:r>
      <w:r w:rsidR="002A573E">
        <w:t xml:space="preserve"> there </w:t>
      </w:r>
      <w:proofErr w:type="gramStart"/>
      <w:r w:rsidR="007D6913">
        <w:t>w</w:t>
      </w:r>
      <w:r w:rsidR="00BF497A">
        <w:t>as</w:t>
      </w:r>
      <w:proofErr w:type="gramEnd"/>
      <w:r w:rsidR="002A573E">
        <w:t xml:space="preserve"> an increasing number of </w:t>
      </w:r>
      <w:r w:rsidR="003C51CE">
        <w:t>r</w:t>
      </w:r>
      <w:r w:rsidR="002A573E">
        <w:t xml:space="preserve">eflections on different aspects of student learning throughout the year. </w:t>
      </w:r>
      <w:r w:rsidR="0075556F">
        <w:t xml:space="preserve">Where students were asked, as per the </w:t>
      </w:r>
      <w:r w:rsidR="003C51CE">
        <w:t>s</w:t>
      </w:r>
      <w:r w:rsidR="0075556F">
        <w:t xml:space="preserve">ubject </w:t>
      </w:r>
      <w:r w:rsidR="003C51CE">
        <w:t>o</w:t>
      </w:r>
      <w:r w:rsidR="0075556F">
        <w:t xml:space="preserve">utline, to reflect on a range of learning experiences in or about work, they were much more likely to complete this </w:t>
      </w:r>
      <w:r w:rsidR="003C51CE">
        <w:t>a</w:t>
      </w:r>
      <w:r w:rsidR="0075556F">
        <w:t xml:space="preserve">ssessment </w:t>
      </w:r>
      <w:r w:rsidR="003C51CE">
        <w:t>t</w:t>
      </w:r>
      <w:r w:rsidR="0075556F">
        <w:t>ype to a higher standard.</w:t>
      </w:r>
    </w:p>
    <w:p w:rsidR="002A573E" w:rsidRDefault="0075556F" w:rsidP="007D6913">
      <w:pPr>
        <w:pStyle w:val="BodyText1"/>
      </w:pPr>
      <w:r>
        <w:t>S</w:t>
      </w:r>
      <w:r w:rsidR="002A573E">
        <w:t xml:space="preserve">tudents were limited in their responses when asked to complete two </w:t>
      </w:r>
      <w:r w:rsidR="007D6913">
        <w:t>r</w:t>
      </w:r>
      <w:r w:rsidR="002A573E">
        <w:t xml:space="preserve">eflections on their </w:t>
      </w:r>
      <w:r w:rsidR="007D6913">
        <w:t>w</w:t>
      </w:r>
      <w:r w:rsidR="002A573E">
        <w:t xml:space="preserve">ork </w:t>
      </w:r>
      <w:r w:rsidR="007D6913">
        <w:t>e</w:t>
      </w:r>
      <w:r w:rsidR="002A573E">
        <w:t xml:space="preserve">xperience or VET learning as many only undertook a single placement or course and either repeated themselves in the second task or simply neglected to complete a second </w:t>
      </w:r>
      <w:r w:rsidR="003C51CE">
        <w:t>r</w:t>
      </w:r>
      <w:r w:rsidR="002A573E">
        <w:t>eflection a</w:t>
      </w:r>
      <w:r w:rsidR="007D6913">
        <w:t>t</w:t>
      </w:r>
      <w:r w:rsidR="00796AB0">
        <w:t xml:space="preserve"> all.</w:t>
      </w:r>
    </w:p>
    <w:p w:rsidR="002A573E" w:rsidRPr="00E17330" w:rsidRDefault="002A573E" w:rsidP="00E527D5">
      <w:pPr>
        <w:pStyle w:val="BodyText1"/>
        <w:rPr>
          <w:rFonts w:eastAsia="Calibri" w:cs="Arial"/>
        </w:rPr>
      </w:pPr>
      <w:r w:rsidRPr="00E17330">
        <w:rPr>
          <w:rFonts w:cs="Arial"/>
        </w:rPr>
        <w:t xml:space="preserve">Once again, </w:t>
      </w:r>
      <w:r>
        <w:rPr>
          <w:rFonts w:cs="Arial"/>
        </w:rPr>
        <w:t>i</w:t>
      </w:r>
      <w:r w:rsidRPr="00E17330">
        <w:rPr>
          <w:rFonts w:eastAsia="Calibri" w:cs="Arial"/>
        </w:rPr>
        <w:t xml:space="preserve">t was evident to the moderators that students were able to achieve at higher </w:t>
      </w:r>
      <w:r w:rsidR="007D6913">
        <w:rPr>
          <w:rFonts w:eastAsia="Calibri" w:cs="Arial"/>
        </w:rPr>
        <w:t xml:space="preserve">grade </w:t>
      </w:r>
      <w:r w:rsidRPr="00E17330">
        <w:rPr>
          <w:rFonts w:eastAsia="Calibri" w:cs="Arial"/>
        </w:rPr>
        <w:t xml:space="preserve">levels </w:t>
      </w:r>
      <w:r>
        <w:rPr>
          <w:rFonts w:eastAsia="Calibri" w:cs="Arial"/>
        </w:rPr>
        <w:t>when</w:t>
      </w:r>
      <w:r w:rsidRPr="00E17330">
        <w:rPr>
          <w:rFonts w:eastAsia="Calibri" w:cs="Arial"/>
        </w:rPr>
        <w:t xml:space="preserve"> </w:t>
      </w:r>
      <w:r w:rsidR="002750E9">
        <w:rPr>
          <w:rFonts w:eastAsia="Calibri" w:cs="Arial"/>
        </w:rPr>
        <w:t xml:space="preserve">assessment </w:t>
      </w:r>
      <w:r w:rsidRPr="00E17330">
        <w:rPr>
          <w:rFonts w:eastAsia="Calibri" w:cs="Arial"/>
        </w:rPr>
        <w:t xml:space="preserve">tasks were designed to allow </w:t>
      </w:r>
      <w:r w:rsidR="007D6913">
        <w:rPr>
          <w:rFonts w:eastAsia="Calibri" w:cs="Arial"/>
        </w:rPr>
        <w:t>students</w:t>
      </w:r>
      <w:r w:rsidR="007D6913" w:rsidRPr="00E17330">
        <w:rPr>
          <w:rFonts w:eastAsia="Calibri" w:cs="Arial"/>
        </w:rPr>
        <w:t xml:space="preserve"> </w:t>
      </w:r>
      <w:r w:rsidRPr="00E17330">
        <w:rPr>
          <w:rFonts w:eastAsia="Calibri" w:cs="Arial"/>
        </w:rPr>
        <w:t xml:space="preserve">to self-evaluate </w:t>
      </w:r>
      <w:r>
        <w:rPr>
          <w:rFonts w:eastAsia="Calibri" w:cs="Arial"/>
        </w:rPr>
        <w:t>rather than</w:t>
      </w:r>
      <w:r w:rsidRPr="00E17330">
        <w:rPr>
          <w:rFonts w:eastAsia="Calibri" w:cs="Arial"/>
        </w:rPr>
        <w:t xml:space="preserve"> </w:t>
      </w:r>
      <w:r w:rsidR="007D6913">
        <w:rPr>
          <w:rFonts w:eastAsia="Calibri" w:cs="Arial"/>
        </w:rPr>
        <w:t xml:space="preserve">to </w:t>
      </w:r>
      <w:r w:rsidRPr="00E17330">
        <w:rPr>
          <w:rFonts w:eastAsia="Calibri" w:cs="Arial"/>
        </w:rPr>
        <w:t>evaluate</w:t>
      </w:r>
      <w:r>
        <w:rPr>
          <w:rFonts w:eastAsia="Calibri" w:cs="Arial"/>
        </w:rPr>
        <w:t xml:space="preserve"> their workplace or </w:t>
      </w:r>
      <w:r w:rsidR="007D6913">
        <w:rPr>
          <w:rFonts w:eastAsia="Calibri" w:cs="Arial"/>
        </w:rPr>
        <w:t xml:space="preserve">the </w:t>
      </w:r>
      <w:r>
        <w:rPr>
          <w:rFonts w:eastAsia="Calibri" w:cs="Arial"/>
        </w:rPr>
        <w:t>industry</w:t>
      </w:r>
      <w:r w:rsidR="007D6913">
        <w:rPr>
          <w:rFonts w:eastAsia="Calibri" w:cs="Arial"/>
        </w:rPr>
        <w:t xml:space="preserve"> in which they had worked</w:t>
      </w:r>
      <w:r>
        <w:rPr>
          <w:rFonts w:eastAsia="Calibri" w:cs="Arial"/>
        </w:rPr>
        <w:t>.</w:t>
      </w:r>
    </w:p>
    <w:p w:rsidR="001A0F23" w:rsidRPr="006E51DA" w:rsidRDefault="00532959">
      <w:pPr>
        <w:pStyle w:val="Heading2"/>
      </w:pPr>
      <w:r w:rsidRPr="006E51DA">
        <w:t>External Assessment</w:t>
      </w:r>
    </w:p>
    <w:p w:rsidR="001A0F23" w:rsidRPr="00300BEF" w:rsidRDefault="001A0F23" w:rsidP="001A0F23">
      <w:pPr>
        <w:pStyle w:val="AssessmentTypeHeading"/>
      </w:pPr>
      <w:r w:rsidRPr="00D108CB">
        <w:t xml:space="preserve">Assessment Type 4: </w:t>
      </w:r>
      <w:r w:rsidR="0052489E">
        <w:t>Investigation</w:t>
      </w:r>
    </w:p>
    <w:p w:rsidR="001A0F23" w:rsidRPr="002A573E" w:rsidRDefault="00C46401" w:rsidP="004161EA">
      <w:pPr>
        <w:pStyle w:val="BodyText1"/>
      </w:pPr>
      <w:r>
        <w:t>Approximately half the students for both the 10</w:t>
      </w:r>
      <w:r w:rsidR="003C51CE">
        <w:noBreakHyphen/>
        <w:t>credit</w:t>
      </w:r>
      <w:r>
        <w:t xml:space="preserve"> </w:t>
      </w:r>
      <w:r w:rsidR="004161EA">
        <w:t xml:space="preserve">subject </w:t>
      </w:r>
      <w:r>
        <w:t xml:space="preserve">and </w:t>
      </w:r>
      <w:r w:rsidR="003C51CE">
        <w:t xml:space="preserve">the </w:t>
      </w:r>
      <w:r>
        <w:t>20</w:t>
      </w:r>
      <w:r w:rsidR="003C51CE">
        <w:noBreakHyphen/>
      </w:r>
      <w:r>
        <w:t xml:space="preserve">credit </w:t>
      </w:r>
      <w:r w:rsidR="004161EA">
        <w:t>subject</w:t>
      </w:r>
      <w:r>
        <w:t xml:space="preserve"> completed a </w:t>
      </w:r>
      <w:r w:rsidR="003C51CE">
        <w:t>p</w:t>
      </w:r>
      <w:r>
        <w:t xml:space="preserve">ractical </w:t>
      </w:r>
      <w:r w:rsidR="003C51CE">
        <w:t>i</w:t>
      </w:r>
      <w:r>
        <w:t xml:space="preserve">nvestigation this year, </w:t>
      </w:r>
      <w:r w:rsidRPr="00206E4C">
        <w:t xml:space="preserve">continuing the upwards </w:t>
      </w:r>
      <w:r w:rsidR="004161EA" w:rsidRPr="00206E4C">
        <w:t xml:space="preserve">trend </w:t>
      </w:r>
      <w:r w:rsidRPr="00206E4C">
        <w:t>in this area.</w:t>
      </w:r>
      <w:r w:rsidR="003C51CE">
        <w:t xml:space="preserve"> </w:t>
      </w:r>
      <w:r w:rsidR="004161EA">
        <w:t>H</w:t>
      </w:r>
      <w:r w:rsidRPr="002A573E">
        <w:t xml:space="preserve">owever, fewer students </w:t>
      </w:r>
      <w:r w:rsidR="004161EA" w:rsidRPr="002A573E">
        <w:t>cho</w:t>
      </w:r>
      <w:r w:rsidR="004161EA">
        <w:t>se</w:t>
      </w:r>
      <w:r w:rsidR="004161EA" w:rsidRPr="002A573E">
        <w:t xml:space="preserve"> </w:t>
      </w:r>
      <w:r w:rsidRPr="002A573E">
        <w:t>to use multimodal presentations. The majority of investigations were within the maximum word limit of 1000</w:t>
      </w:r>
      <w:r w:rsidR="003C51CE">
        <w:t> </w:t>
      </w:r>
      <w:r w:rsidRPr="002A573E">
        <w:t>words</w:t>
      </w:r>
      <w:r w:rsidR="004161EA">
        <w:t>,</w:t>
      </w:r>
      <w:r w:rsidRPr="002A573E">
        <w:t xml:space="preserve"> or equivalent</w:t>
      </w:r>
      <w:r w:rsidR="004161EA">
        <w:t>,</w:t>
      </w:r>
      <w:r w:rsidRPr="002A573E">
        <w:t xml:space="preserve"> for the 10</w:t>
      </w:r>
      <w:r w:rsidR="003C51CE">
        <w:noBreakHyphen/>
      </w:r>
      <w:r w:rsidRPr="002A573E">
        <w:t>credit</w:t>
      </w:r>
      <w:r w:rsidR="004161EA">
        <w:t xml:space="preserve"> subject</w:t>
      </w:r>
      <w:r w:rsidR="001A51FA">
        <w:t>,</w:t>
      </w:r>
      <w:r w:rsidRPr="002A573E">
        <w:t xml:space="preserve"> or 2000</w:t>
      </w:r>
      <w:r w:rsidR="003C51CE">
        <w:t> </w:t>
      </w:r>
      <w:r w:rsidRPr="002A573E">
        <w:t>words</w:t>
      </w:r>
      <w:r w:rsidR="004161EA">
        <w:t>,</w:t>
      </w:r>
      <w:r w:rsidRPr="002A573E">
        <w:t xml:space="preserve"> or equivalent</w:t>
      </w:r>
      <w:r w:rsidR="004161EA">
        <w:t>,</w:t>
      </w:r>
      <w:r w:rsidRPr="002A573E">
        <w:t xml:space="preserve"> for the 20</w:t>
      </w:r>
      <w:r w:rsidR="003C51CE">
        <w:noBreakHyphen/>
      </w:r>
      <w:r w:rsidRPr="002A573E">
        <w:t xml:space="preserve">credit subject. </w:t>
      </w:r>
      <w:r w:rsidR="000F7973" w:rsidRPr="002A573E">
        <w:t>However, it was noted that a number of students were disadvantaged by exceeding the maximum word limit</w:t>
      </w:r>
      <w:r w:rsidR="00343C83">
        <w:t>.</w:t>
      </w:r>
    </w:p>
    <w:p w:rsidR="00C46401" w:rsidRPr="00206E4C" w:rsidRDefault="000F7973" w:rsidP="00BF497A">
      <w:pPr>
        <w:pStyle w:val="BodyText1"/>
      </w:pPr>
      <w:r w:rsidRPr="002A573E">
        <w:t xml:space="preserve">The majority of student work was packaged appropriately with the correct </w:t>
      </w:r>
      <w:r w:rsidR="003C51CE">
        <w:t>e</w:t>
      </w:r>
      <w:r w:rsidRPr="002A573E">
        <w:t xml:space="preserve">xternal </w:t>
      </w:r>
      <w:r w:rsidR="003C51CE">
        <w:t>a</w:t>
      </w:r>
      <w:r w:rsidRPr="002A573E">
        <w:t xml:space="preserve">ssessment </w:t>
      </w:r>
      <w:r w:rsidR="003C51CE">
        <w:t>c</w:t>
      </w:r>
      <w:r w:rsidRPr="002A573E">
        <w:t>over</w:t>
      </w:r>
      <w:r w:rsidRPr="00206E4C">
        <w:t xml:space="preserve"> sheet. This sheet provides key information for markers about the </w:t>
      </w:r>
      <w:r w:rsidRPr="00206E4C">
        <w:lastRenderedPageBreak/>
        <w:t xml:space="preserve">type of </w:t>
      </w:r>
      <w:r w:rsidR="00BF497A">
        <w:t>i</w:t>
      </w:r>
      <w:r w:rsidRPr="00206E4C">
        <w:t>nvestigation, the industry relevance</w:t>
      </w:r>
      <w:r w:rsidR="004161EA">
        <w:t>,</w:t>
      </w:r>
      <w:r w:rsidRPr="00206E4C">
        <w:t xml:space="preserve"> and the word count. It is important that students complete all of the required information </w:t>
      </w:r>
      <w:r w:rsidR="00524F7A">
        <w:t xml:space="preserve">on this cover sheet </w:t>
      </w:r>
      <w:r w:rsidRPr="00206E4C">
        <w:t>to ensure that ma</w:t>
      </w:r>
      <w:r w:rsidR="004161EA">
        <w:t>r</w:t>
      </w:r>
      <w:r w:rsidRPr="00206E4C">
        <w:t xml:space="preserve">kers have all information necessary to </w:t>
      </w:r>
      <w:r w:rsidR="004161EA">
        <w:t>make an</w:t>
      </w:r>
      <w:r w:rsidRPr="00206E4C">
        <w:t xml:space="preserve"> assessment decision. It is also important to remember that student work must be completely de-identified, including names of students, teachers</w:t>
      </w:r>
      <w:r w:rsidR="004161EA">
        <w:t>,</w:t>
      </w:r>
      <w:r w:rsidR="00343C83">
        <w:t xml:space="preserve"> and schools.</w:t>
      </w:r>
    </w:p>
    <w:p w:rsidR="000F7973" w:rsidRPr="00206E4C" w:rsidRDefault="004161EA" w:rsidP="00BF497A">
      <w:pPr>
        <w:pStyle w:val="BodyText1"/>
      </w:pPr>
      <w:r>
        <w:t>M</w:t>
      </w:r>
      <w:r w:rsidR="000F7973" w:rsidRPr="00206E4C">
        <w:t>ultimodal presentations</w:t>
      </w:r>
      <w:r>
        <w:t xml:space="preserve"> that </w:t>
      </w:r>
      <w:r w:rsidR="001A51FA">
        <w:t>complement</w:t>
      </w:r>
      <w:r>
        <w:t>ed</w:t>
      </w:r>
      <w:r w:rsidR="001A51FA">
        <w:t xml:space="preserve"> </w:t>
      </w:r>
      <w:r>
        <w:t xml:space="preserve">a student’s </w:t>
      </w:r>
      <w:r w:rsidR="001A51FA">
        <w:t>vocational learning/VET</w:t>
      </w:r>
      <w:r w:rsidR="000F7973" w:rsidRPr="00206E4C">
        <w:t xml:space="preserve"> were generally more successful </w:t>
      </w:r>
      <w:r w:rsidRPr="00206E4C">
        <w:t>tha</w:t>
      </w:r>
      <w:r>
        <w:t>n</w:t>
      </w:r>
      <w:r w:rsidRPr="00206E4C">
        <w:t xml:space="preserve"> </w:t>
      </w:r>
      <w:r w:rsidR="000F7973" w:rsidRPr="00206E4C">
        <w:t xml:space="preserve">those </w:t>
      </w:r>
      <w:r>
        <w:t>that simply</w:t>
      </w:r>
      <w:r w:rsidR="000F7973" w:rsidRPr="00206E4C">
        <w:t xml:space="preserve"> recreat</w:t>
      </w:r>
      <w:r w:rsidR="00BF497A">
        <w:t>ed</w:t>
      </w:r>
      <w:r w:rsidR="000F7973" w:rsidRPr="00206E4C">
        <w:t xml:space="preserve"> a </w:t>
      </w:r>
      <w:r>
        <w:t>digital slide</w:t>
      </w:r>
      <w:r w:rsidR="000F7973" w:rsidRPr="00206E4C">
        <w:t xml:space="preserve"> presentation that had already been </w:t>
      </w:r>
      <w:r w:rsidR="001A51FA">
        <w:t>published by another source</w:t>
      </w:r>
      <w:r w:rsidR="000F7973" w:rsidRPr="00206E4C">
        <w:t xml:space="preserve">. </w:t>
      </w:r>
      <w:r>
        <w:t>Also, it</w:t>
      </w:r>
      <w:r w:rsidR="000F7973" w:rsidRPr="00206E4C">
        <w:t xml:space="preserve"> is essential that all multimodal resources </w:t>
      </w:r>
      <w:r>
        <w:t>have high-quality</w:t>
      </w:r>
      <w:r w:rsidR="000F7973" w:rsidRPr="00206E4C">
        <w:t xml:space="preserve"> sound and that </w:t>
      </w:r>
      <w:r>
        <w:t xml:space="preserve">the </w:t>
      </w:r>
      <w:r w:rsidR="000F7973" w:rsidRPr="00206E4C">
        <w:t xml:space="preserve">files are not corrupted or in an inaccessible format. </w:t>
      </w:r>
      <w:r w:rsidR="00635CFF">
        <w:t>Refer</w:t>
      </w:r>
      <w:r w:rsidR="000F7973" w:rsidRPr="00206E4C">
        <w:t xml:space="preserve"> to the </w:t>
      </w:r>
      <w:r w:rsidR="00635CFF">
        <w:t xml:space="preserve">video, ‘Preparation of Non-written Materials and Submission of Electronic Files’ under Stage 2 School Assessment on the </w:t>
      </w:r>
      <w:hyperlink r:id="rId14" w:history="1">
        <w:r w:rsidR="00635CFF" w:rsidRPr="00FC7F1D">
          <w:rPr>
            <w:rStyle w:val="Hyperlink"/>
          </w:rPr>
          <w:t xml:space="preserve">subject </w:t>
        </w:r>
        <w:proofErr w:type="spellStart"/>
        <w:r w:rsidR="00635CFF" w:rsidRPr="00FC7F1D">
          <w:rPr>
            <w:rStyle w:val="Hyperlink"/>
          </w:rPr>
          <w:t>minisite</w:t>
        </w:r>
        <w:proofErr w:type="spellEnd"/>
      </w:hyperlink>
      <w:r w:rsidR="00635CFF">
        <w:t xml:space="preserve"> for g</w:t>
      </w:r>
      <w:r w:rsidR="000F7973" w:rsidRPr="00206E4C">
        <w:t xml:space="preserve">uidelines </w:t>
      </w:r>
      <w:r w:rsidR="00635CFF">
        <w:t>on</w:t>
      </w:r>
      <w:r w:rsidR="00635CFF" w:rsidRPr="00206E4C">
        <w:t xml:space="preserve"> </w:t>
      </w:r>
      <w:r w:rsidR="000F7973" w:rsidRPr="00206E4C">
        <w:t xml:space="preserve">preparing audio and video files </w:t>
      </w:r>
      <w:r w:rsidR="00635CFF">
        <w:t>of student materials for submission to the</w:t>
      </w:r>
      <w:r w:rsidR="000F7973" w:rsidRPr="00206E4C">
        <w:t xml:space="preserve"> SACE Board</w:t>
      </w:r>
      <w:r w:rsidR="00343C83">
        <w:t>.</w:t>
      </w:r>
    </w:p>
    <w:p w:rsidR="00540529" w:rsidRDefault="00635CFF" w:rsidP="00BF497A">
      <w:pPr>
        <w:pStyle w:val="BodyText1"/>
      </w:pPr>
      <w:r>
        <w:t>If</w:t>
      </w:r>
      <w:r w:rsidR="00540529" w:rsidRPr="00206E4C">
        <w:t xml:space="preserve"> students were </w:t>
      </w:r>
      <w:r>
        <w:t>given</w:t>
      </w:r>
      <w:r w:rsidRPr="00206E4C">
        <w:t xml:space="preserve"> </w:t>
      </w:r>
      <w:r w:rsidR="00540529" w:rsidRPr="00206E4C">
        <w:t xml:space="preserve">the freedom to choose an </w:t>
      </w:r>
      <w:r w:rsidRPr="00206E4C">
        <w:t>industry</w:t>
      </w:r>
      <w:r>
        <w:t>-</w:t>
      </w:r>
      <w:r w:rsidR="00540529" w:rsidRPr="00206E4C">
        <w:t xml:space="preserve">specific </w:t>
      </w:r>
      <w:r>
        <w:t>i</w:t>
      </w:r>
      <w:r w:rsidR="00540529" w:rsidRPr="00206E4C">
        <w:t xml:space="preserve">ssue or </w:t>
      </w:r>
      <w:r>
        <w:t>p</w:t>
      </w:r>
      <w:r w:rsidR="00540529" w:rsidRPr="00206E4C">
        <w:t>ractical investigation</w:t>
      </w:r>
      <w:r>
        <w:t>,</w:t>
      </w:r>
      <w:r w:rsidR="00540529" w:rsidRPr="00206E4C">
        <w:t xml:space="preserve"> the standard of </w:t>
      </w:r>
      <w:r>
        <w:t xml:space="preserve">student </w:t>
      </w:r>
      <w:r w:rsidR="00540529" w:rsidRPr="00206E4C">
        <w:t xml:space="preserve">work was generally higher than </w:t>
      </w:r>
      <w:r>
        <w:t xml:space="preserve">in </w:t>
      </w:r>
      <w:r w:rsidR="00540529" w:rsidRPr="00206E4C">
        <w:t>those classes where all students completed</w:t>
      </w:r>
      <w:r w:rsidR="00540529">
        <w:t xml:space="preserve"> the same topic and presented </w:t>
      </w:r>
      <w:r>
        <w:t xml:space="preserve">their investigation </w:t>
      </w:r>
      <w:r w:rsidR="00540529">
        <w:t xml:space="preserve">in exactly the same style. </w:t>
      </w:r>
      <w:r>
        <w:t xml:space="preserve">Highly </w:t>
      </w:r>
      <w:r w:rsidR="00540529">
        <w:t xml:space="preserve">scaffolded </w:t>
      </w:r>
      <w:r>
        <w:t>assessment tasks</w:t>
      </w:r>
      <w:r w:rsidR="00540529">
        <w:t xml:space="preserve"> did not allow students to meet the performance standards a</w:t>
      </w:r>
      <w:r>
        <w:t>t the highest grade band</w:t>
      </w:r>
      <w:r w:rsidR="00540529">
        <w:t xml:space="preserve">. The most effective </w:t>
      </w:r>
      <w:r>
        <w:t>i</w:t>
      </w:r>
      <w:r w:rsidR="00540529">
        <w:t>nvestigations were those</w:t>
      </w:r>
      <w:r w:rsidR="00BF497A">
        <w:t xml:space="preserve"> based on a topic that had been</w:t>
      </w:r>
      <w:r w:rsidR="00540529">
        <w:t xml:space="preserve"> negotiated between the teacher and the student around an issue or practical task of relevance to the student’s chosen industry</w:t>
      </w:r>
      <w:r>
        <w:t>,</w:t>
      </w:r>
      <w:r w:rsidR="00540529">
        <w:t xml:space="preserve"> as the student w</w:t>
      </w:r>
      <w:r w:rsidR="00BF497A">
        <w:t>as</w:t>
      </w:r>
      <w:r w:rsidR="00540529">
        <w:t xml:space="preserve"> far more likely to engage with the work in a </w:t>
      </w:r>
      <w:r w:rsidR="00343C83">
        <w:t>positive and meaningful manner.</w:t>
      </w:r>
    </w:p>
    <w:p w:rsidR="00635CFF" w:rsidRPr="00624EF3" w:rsidRDefault="00BF497A" w:rsidP="00635CFF">
      <w:pPr>
        <w:pStyle w:val="Topicheading"/>
      </w:pPr>
      <w:r>
        <w:t>Practical Investigation</w:t>
      </w:r>
    </w:p>
    <w:p w:rsidR="00635CFF" w:rsidRPr="00206E4C" w:rsidRDefault="00635CFF" w:rsidP="00BD3F62">
      <w:pPr>
        <w:pStyle w:val="BodyText1"/>
      </w:pPr>
      <w:r>
        <w:t>In the most successful practical investigations, students were able to demonstrate their involvement in a real practical activity related to their focus industry. Many of these p</w:t>
      </w:r>
      <w:r w:rsidRPr="00206E4C">
        <w:t xml:space="preserve">racticals incorporated a multimodal component (such as a video) accompanied by a written analysis of the </w:t>
      </w:r>
      <w:r w:rsidR="00BD3F62">
        <w:t>i</w:t>
      </w:r>
      <w:r w:rsidRPr="00206E4C">
        <w:t>nvestigation undertaken</w:t>
      </w:r>
      <w:r w:rsidR="00BD3F62">
        <w:t>,</w:t>
      </w:r>
      <w:r w:rsidRPr="00206E4C">
        <w:t xml:space="preserve"> and </w:t>
      </w:r>
      <w:r w:rsidR="00BD3F62">
        <w:t xml:space="preserve">a </w:t>
      </w:r>
      <w:r w:rsidRPr="00206E4C">
        <w:t>reflection on</w:t>
      </w:r>
      <w:r w:rsidR="00BD3F62">
        <w:t>,</w:t>
      </w:r>
      <w:r w:rsidRPr="00206E4C">
        <w:t xml:space="preserve"> and evaluation of</w:t>
      </w:r>
      <w:r w:rsidR="00BD3F62">
        <w:t>,</w:t>
      </w:r>
      <w:r w:rsidRPr="00206E4C">
        <w:t xml:space="preserve"> </w:t>
      </w:r>
      <w:r w:rsidR="00BD3F62">
        <w:t>student</w:t>
      </w:r>
      <w:r w:rsidRPr="00206E4C">
        <w:t xml:space="preserve"> work.</w:t>
      </w:r>
    </w:p>
    <w:p w:rsidR="00635CFF" w:rsidRPr="00206E4C" w:rsidRDefault="00635CFF" w:rsidP="00BD3F62">
      <w:pPr>
        <w:pStyle w:val="BodyText1"/>
      </w:pPr>
      <w:r w:rsidRPr="00206E4C">
        <w:t xml:space="preserve">In the less successful </w:t>
      </w:r>
      <w:r>
        <w:t>p</w:t>
      </w:r>
      <w:r w:rsidRPr="00206E4C">
        <w:t xml:space="preserve">ractical </w:t>
      </w:r>
      <w:r>
        <w:t>i</w:t>
      </w:r>
      <w:r w:rsidRPr="00206E4C">
        <w:t>nvestigations, students were asked to imagine completing a particular work</w:t>
      </w:r>
      <w:r w:rsidR="00BD3F62">
        <w:t>-</w:t>
      </w:r>
      <w:r w:rsidRPr="00206E4C">
        <w:t xml:space="preserve">related task, but were not actually required to perform it (or had only worked on it briefly during </w:t>
      </w:r>
      <w:r w:rsidR="00BD3F62">
        <w:t>w</w:t>
      </w:r>
      <w:r w:rsidRPr="00206E4C">
        <w:t xml:space="preserve">ork </w:t>
      </w:r>
      <w:r w:rsidR="00BD3F62">
        <w:t>e</w:t>
      </w:r>
      <w:r w:rsidRPr="00206E4C">
        <w:t xml:space="preserve">xperience). These </w:t>
      </w:r>
      <w:r w:rsidR="00BD3F62">
        <w:t>i</w:t>
      </w:r>
      <w:r w:rsidRPr="00206E4C">
        <w:t xml:space="preserve">nvestigations did not allow sufficient </w:t>
      </w:r>
      <w:r>
        <w:t>i</w:t>
      </w:r>
      <w:r w:rsidRPr="00206E4C">
        <w:t xml:space="preserve">nvestigation and </w:t>
      </w:r>
      <w:r>
        <w:t>a</w:t>
      </w:r>
      <w:r w:rsidRPr="00206E4C">
        <w:t xml:space="preserve">nalysis or </w:t>
      </w:r>
      <w:r>
        <w:t>r</w:t>
      </w:r>
      <w:r w:rsidRPr="00206E4C">
        <w:t xml:space="preserve">eflection and </w:t>
      </w:r>
      <w:r>
        <w:t>e</w:t>
      </w:r>
      <w:r w:rsidRPr="00206E4C">
        <w:t>valuation of a task</w:t>
      </w:r>
      <w:r w:rsidR="00BD3F62">
        <w:t>,</w:t>
      </w:r>
      <w:r w:rsidRPr="00206E4C">
        <w:t xml:space="preserve"> thus limiting the ability of students to meet the performance standards to a satisfactory </w:t>
      </w:r>
      <w:r w:rsidR="00BD3F62">
        <w:t>level</w:t>
      </w:r>
      <w:r w:rsidRPr="00206E4C">
        <w:t>.</w:t>
      </w:r>
    </w:p>
    <w:p w:rsidR="00635CFF" w:rsidRDefault="00635CFF" w:rsidP="00DC33C1">
      <w:pPr>
        <w:pStyle w:val="BodyText1"/>
      </w:pPr>
      <w:r w:rsidRPr="00206E4C">
        <w:t xml:space="preserve">It is highly recommended that </w:t>
      </w:r>
      <w:r w:rsidR="00BD3F62">
        <w:t>teachers</w:t>
      </w:r>
      <w:r w:rsidRPr="00206E4C">
        <w:t xml:space="preserve"> avoid </w:t>
      </w:r>
      <w:r w:rsidR="00BD3F62">
        <w:t xml:space="preserve">setting </w:t>
      </w:r>
      <w:r w:rsidRPr="00206E4C">
        <w:t>step</w:t>
      </w:r>
      <w:r w:rsidR="00BD3F62">
        <w:t>-</w:t>
      </w:r>
      <w:r w:rsidRPr="00206E4C">
        <w:t>by</w:t>
      </w:r>
      <w:r w:rsidR="00BD3F62">
        <w:t>-</w:t>
      </w:r>
      <w:r w:rsidRPr="00206E4C">
        <w:t>step guides or imagined practicals.</w:t>
      </w:r>
      <w:r>
        <w:t xml:space="preserve"> </w:t>
      </w:r>
      <w:r w:rsidRPr="00206E4C">
        <w:t xml:space="preserve">Where students undertook a task or process with industry relevance </w:t>
      </w:r>
      <w:r w:rsidR="003012CB">
        <w:t xml:space="preserve">and </w:t>
      </w:r>
      <w:r w:rsidRPr="00206E4C">
        <w:t xml:space="preserve">where some investigation and learning was required, they were consistently </w:t>
      </w:r>
      <w:r w:rsidR="003012CB" w:rsidRPr="00206E4C">
        <w:t>more likely to</w:t>
      </w:r>
      <w:r w:rsidR="003012CB">
        <w:t xml:space="preserve"> achieve</w:t>
      </w:r>
      <w:r w:rsidR="003012CB" w:rsidRPr="00206E4C">
        <w:t xml:space="preserve"> </w:t>
      </w:r>
      <w:r w:rsidR="003012CB">
        <w:t>at the</w:t>
      </w:r>
      <w:r w:rsidRPr="00206E4C">
        <w:t xml:space="preserve"> higher</w:t>
      </w:r>
      <w:r w:rsidR="003012CB">
        <w:t xml:space="preserve"> grades</w:t>
      </w:r>
      <w:r w:rsidRPr="00206E4C">
        <w:t>.</w:t>
      </w:r>
    </w:p>
    <w:p w:rsidR="00540529" w:rsidRPr="00624EF3" w:rsidRDefault="00BF497A" w:rsidP="00524F7A">
      <w:pPr>
        <w:pStyle w:val="Topicheading"/>
        <w:keepNext/>
      </w:pPr>
      <w:r>
        <w:t>Issues Investigation</w:t>
      </w:r>
    </w:p>
    <w:p w:rsidR="00540529" w:rsidRDefault="00540529" w:rsidP="0005340C">
      <w:pPr>
        <w:pStyle w:val="BodyText1"/>
      </w:pPr>
      <w:r>
        <w:t xml:space="preserve">The most successful </w:t>
      </w:r>
      <w:r w:rsidR="007A5844">
        <w:t>i</w:t>
      </w:r>
      <w:r>
        <w:t xml:space="preserve">ssues </w:t>
      </w:r>
      <w:r w:rsidR="007A5844">
        <w:t>i</w:t>
      </w:r>
      <w:r>
        <w:t xml:space="preserve">nvestigations all began with an appropriately worded focus for the investigation. Where a clear and appropriate </w:t>
      </w:r>
      <w:r w:rsidRPr="00206E4C">
        <w:t>issue</w:t>
      </w:r>
      <w:r>
        <w:t xml:space="preserve"> was identified, students were able to tailor </w:t>
      </w:r>
      <w:r w:rsidR="00343C83">
        <w:t xml:space="preserve">their </w:t>
      </w:r>
      <w:r>
        <w:t>research accordingly.</w:t>
      </w:r>
      <w:r w:rsidR="003C51CE">
        <w:t xml:space="preserve"> </w:t>
      </w:r>
      <w:r w:rsidR="00343C83">
        <w:t>However</w:t>
      </w:r>
      <w:r>
        <w:t>, a number of students were let down by their choice of a topic rather than an issue. For example</w:t>
      </w:r>
      <w:r w:rsidR="00BB2EAE">
        <w:t>,</w:t>
      </w:r>
      <w:r>
        <w:t xml:space="preserve"> choosing </w:t>
      </w:r>
      <w:r w:rsidR="009F38B4">
        <w:t xml:space="preserve">a </w:t>
      </w:r>
      <w:r w:rsidR="00524F7A">
        <w:t xml:space="preserve">general </w:t>
      </w:r>
      <w:r>
        <w:t xml:space="preserve">topic such as </w:t>
      </w:r>
      <w:r w:rsidR="00B84096">
        <w:t>o</w:t>
      </w:r>
      <w:r>
        <w:t xml:space="preserve">ccupational </w:t>
      </w:r>
      <w:r w:rsidR="00B84096">
        <w:t xml:space="preserve">health </w:t>
      </w:r>
      <w:r>
        <w:t xml:space="preserve">and </w:t>
      </w:r>
      <w:r w:rsidR="00B84096">
        <w:t>safety</w:t>
      </w:r>
      <w:r w:rsidR="00BB2EAE">
        <w:t xml:space="preserve">, </w:t>
      </w:r>
      <w:r w:rsidR="00B84096">
        <w:t>childhood poverty</w:t>
      </w:r>
      <w:r w:rsidR="00BB2EAE">
        <w:t xml:space="preserve">, or </w:t>
      </w:r>
      <w:r w:rsidR="00B84096">
        <w:t>g</w:t>
      </w:r>
      <w:r w:rsidR="00BB2EAE">
        <w:t xml:space="preserve">ender </w:t>
      </w:r>
      <w:r w:rsidR="00B84096">
        <w:t>equity</w:t>
      </w:r>
      <w:r w:rsidR="00BB2EAE">
        <w:t>,</w:t>
      </w:r>
      <w:r>
        <w:t xml:space="preserve"> </w:t>
      </w:r>
      <w:r w:rsidR="00524F7A">
        <w:t>without linking it meaningfully to their chosen industry</w:t>
      </w:r>
      <w:r w:rsidR="009F38B4">
        <w:t>, d</w:t>
      </w:r>
      <w:r w:rsidR="0005340C">
        <w:t>id</w:t>
      </w:r>
      <w:r w:rsidR="009F38B4">
        <w:t xml:space="preserve"> not allow students to </w:t>
      </w:r>
      <w:r w:rsidR="009B6BC3">
        <w:t xml:space="preserve">investigate and analyse </w:t>
      </w:r>
      <w:r w:rsidR="00343C83">
        <w:t>work-</w:t>
      </w:r>
      <w:r w:rsidR="009B6BC3">
        <w:t>related issues</w:t>
      </w:r>
      <w:r w:rsidR="009F38B4">
        <w:t>.</w:t>
      </w:r>
      <w:r w:rsidR="009B6BC3">
        <w:t xml:space="preserve"> It is essential that investigation</w:t>
      </w:r>
      <w:r w:rsidR="00343C83">
        <w:t>s are</w:t>
      </w:r>
      <w:r w:rsidR="009B6BC3">
        <w:t xml:space="preserve"> related to work in </w:t>
      </w:r>
      <w:r w:rsidR="00524F7A">
        <w:t xml:space="preserve">the </w:t>
      </w:r>
      <w:r w:rsidR="00343C83">
        <w:t xml:space="preserve">students’ </w:t>
      </w:r>
      <w:r w:rsidR="009B6BC3">
        <w:t>chosen industry</w:t>
      </w:r>
      <w:r w:rsidR="00705D8E">
        <w:t>,</w:t>
      </w:r>
      <w:r w:rsidR="009B6BC3">
        <w:t xml:space="preserve"> and how it </w:t>
      </w:r>
      <w:r w:rsidR="009B6BC3">
        <w:lastRenderedPageBreak/>
        <w:t>impacts</w:t>
      </w:r>
      <w:r w:rsidR="00705D8E">
        <w:t>,</w:t>
      </w:r>
      <w:r w:rsidR="007A5844">
        <w:t xml:space="preserve"> or could impact</w:t>
      </w:r>
      <w:r w:rsidR="00705D8E">
        <w:t>,</w:t>
      </w:r>
      <w:r w:rsidR="007A5844">
        <w:t xml:space="preserve"> on their work</w:t>
      </w:r>
      <w:r w:rsidR="00343C83">
        <w:t xml:space="preserve"> is discussed</w:t>
      </w:r>
      <w:r w:rsidR="00705D8E">
        <w:t xml:space="preserve"> as this will assist in </w:t>
      </w:r>
      <w:r w:rsidR="0005340C">
        <w:t xml:space="preserve">demonstrating </w:t>
      </w:r>
      <w:r w:rsidR="00705D8E">
        <w:t>reflection and evaluation, and particularly self-evaluation.</w:t>
      </w:r>
    </w:p>
    <w:p w:rsidR="009B6BC3" w:rsidRDefault="009B6BC3" w:rsidP="00BF497A">
      <w:pPr>
        <w:pStyle w:val="BodyText1"/>
      </w:pPr>
      <w:r>
        <w:t xml:space="preserve">In many classes where all students </w:t>
      </w:r>
      <w:r w:rsidR="00343C83">
        <w:t xml:space="preserve">investigated </w:t>
      </w:r>
      <w:r>
        <w:t xml:space="preserve">the same issue, students struggled to complete their own </w:t>
      </w:r>
      <w:r w:rsidRPr="00206E4C">
        <w:t>research</w:t>
      </w:r>
      <w:r>
        <w:t xml:space="preserve"> and analysis of the chosen information. These </w:t>
      </w:r>
      <w:r w:rsidR="00343C83">
        <w:t xml:space="preserve">investigations </w:t>
      </w:r>
      <w:r>
        <w:t>were often heavily scaffolded with the same resources used by each member of the class</w:t>
      </w:r>
      <w:r w:rsidR="00343C83">
        <w:t>,</w:t>
      </w:r>
      <w:r>
        <w:t xml:space="preserve"> </w:t>
      </w:r>
      <w:r w:rsidR="00BB2EAE">
        <w:t xml:space="preserve">rather than each </w:t>
      </w:r>
      <w:r w:rsidR="00BF497A">
        <w:t>student</w:t>
      </w:r>
      <w:r w:rsidR="00BB2EAE">
        <w:t xml:space="preserve"> researching and interacting with primary and secondary source m</w:t>
      </w:r>
      <w:r w:rsidR="007A5844">
        <w:t>aterial in a meaningful manner.</w:t>
      </w:r>
    </w:p>
    <w:p w:rsidR="005658D3" w:rsidRPr="005658D3" w:rsidRDefault="005658D3" w:rsidP="000E2264">
      <w:pPr>
        <w:pStyle w:val="Topicheading"/>
        <w:keepNext/>
      </w:pPr>
      <w:r w:rsidRPr="005658D3">
        <w:t>Performance Standards</w:t>
      </w:r>
    </w:p>
    <w:p w:rsidR="007A5844" w:rsidRPr="00705D8E" w:rsidRDefault="007A5844" w:rsidP="007A5844">
      <w:pPr>
        <w:pStyle w:val="SOFinalBodyTextExtraSpace-AssTypeONLY"/>
        <w:rPr>
          <w:sz w:val="22"/>
          <w:szCs w:val="22"/>
        </w:rPr>
      </w:pPr>
      <w:r w:rsidRPr="00705D8E">
        <w:rPr>
          <w:sz w:val="22"/>
          <w:szCs w:val="22"/>
        </w:rPr>
        <w:t xml:space="preserve">For this assessment type, students </w:t>
      </w:r>
      <w:r w:rsidR="00343C83" w:rsidRPr="00705D8E">
        <w:rPr>
          <w:sz w:val="22"/>
          <w:szCs w:val="22"/>
        </w:rPr>
        <w:t xml:space="preserve">are asked to </w:t>
      </w:r>
      <w:r w:rsidRPr="00705D8E">
        <w:rPr>
          <w:sz w:val="22"/>
          <w:szCs w:val="22"/>
        </w:rPr>
        <w:t>provide evidence of their learning in relation to the following assessment design criteria:</w:t>
      </w:r>
    </w:p>
    <w:p w:rsidR="007A5844" w:rsidRPr="00705D8E" w:rsidRDefault="007A5844" w:rsidP="009D775C">
      <w:pPr>
        <w:pStyle w:val="SOFinalBullets"/>
        <w:tabs>
          <w:tab w:val="clear" w:pos="510"/>
          <w:tab w:val="num" w:pos="170"/>
        </w:tabs>
        <w:spacing w:before="0"/>
        <w:ind w:left="170"/>
        <w:rPr>
          <w:sz w:val="22"/>
          <w:szCs w:val="22"/>
        </w:rPr>
      </w:pPr>
      <w:r w:rsidRPr="00705D8E">
        <w:rPr>
          <w:sz w:val="22"/>
          <w:szCs w:val="22"/>
        </w:rPr>
        <w:t>knowledge and understanding</w:t>
      </w:r>
      <w:bookmarkStart w:id="0" w:name="_GoBack"/>
      <w:bookmarkEnd w:id="0"/>
    </w:p>
    <w:p w:rsidR="007A5844" w:rsidRPr="00705D8E" w:rsidRDefault="007A5844" w:rsidP="009D775C">
      <w:pPr>
        <w:pStyle w:val="SOFinalBullets"/>
        <w:tabs>
          <w:tab w:val="clear" w:pos="510"/>
          <w:tab w:val="num" w:pos="170"/>
        </w:tabs>
        <w:spacing w:before="0"/>
        <w:ind w:left="170"/>
        <w:rPr>
          <w:sz w:val="22"/>
          <w:szCs w:val="22"/>
        </w:rPr>
      </w:pPr>
      <w:r w:rsidRPr="00705D8E">
        <w:rPr>
          <w:sz w:val="22"/>
          <w:szCs w:val="22"/>
        </w:rPr>
        <w:t>investigation and analysis</w:t>
      </w:r>
    </w:p>
    <w:p w:rsidR="007A5844" w:rsidRPr="00705D8E" w:rsidRDefault="007A5844" w:rsidP="009D775C">
      <w:pPr>
        <w:pStyle w:val="SOFinalBullets"/>
        <w:tabs>
          <w:tab w:val="clear" w:pos="510"/>
          <w:tab w:val="num" w:pos="170"/>
        </w:tabs>
        <w:spacing w:before="0"/>
        <w:ind w:left="170"/>
        <w:rPr>
          <w:sz w:val="22"/>
          <w:szCs w:val="22"/>
        </w:rPr>
      </w:pPr>
      <w:proofErr w:type="gramStart"/>
      <w:r w:rsidRPr="00705D8E">
        <w:rPr>
          <w:sz w:val="22"/>
          <w:szCs w:val="22"/>
        </w:rPr>
        <w:t>reflection</w:t>
      </w:r>
      <w:proofErr w:type="gramEnd"/>
      <w:r w:rsidRPr="00705D8E">
        <w:rPr>
          <w:sz w:val="22"/>
          <w:szCs w:val="22"/>
        </w:rPr>
        <w:t xml:space="preserve"> and evaluation.</w:t>
      </w:r>
    </w:p>
    <w:p w:rsidR="005658D3" w:rsidRPr="00206E4C" w:rsidRDefault="005658D3" w:rsidP="003C51CE">
      <w:pPr>
        <w:pStyle w:val="italicsheading"/>
      </w:pPr>
      <w:r w:rsidRPr="00206E4C">
        <w:t>Knowledge and Understanding</w:t>
      </w:r>
    </w:p>
    <w:p w:rsidR="0021115D" w:rsidRDefault="00F539A4" w:rsidP="0005340C">
      <w:pPr>
        <w:pStyle w:val="BodyText1"/>
      </w:pPr>
      <w:r>
        <w:t>Generally this</w:t>
      </w:r>
      <w:r w:rsidR="005658D3">
        <w:t xml:space="preserve"> </w:t>
      </w:r>
      <w:r w:rsidR="0005340C">
        <w:t xml:space="preserve">criterion </w:t>
      </w:r>
      <w:r>
        <w:t xml:space="preserve">was the one </w:t>
      </w:r>
      <w:r w:rsidR="005658D3">
        <w:t xml:space="preserve">most effectively met by students in either the </w:t>
      </w:r>
      <w:r w:rsidR="003C51CE">
        <w:t>p</w:t>
      </w:r>
      <w:r w:rsidR="005658D3">
        <w:t xml:space="preserve">ractical or </w:t>
      </w:r>
      <w:r w:rsidR="003C51CE">
        <w:t>i</w:t>
      </w:r>
      <w:r w:rsidR="005658D3">
        <w:t>ssue</w:t>
      </w:r>
      <w:r w:rsidR="00BF497A">
        <w:t>s</w:t>
      </w:r>
      <w:r w:rsidR="005658D3">
        <w:t xml:space="preserve"> </w:t>
      </w:r>
      <w:r w:rsidR="003C51CE">
        <w:t>i</w:t>
      </w:r>
      <w:r w:rsidR="005658D3">
        <w:t>nvestigations</w:t>
      </w:r>
      <w:r>
        <w:t>. In particular, student</w:t>
      </w:r>
      <w:r w:rsidR="00DC33C1">
        <w:t>s</w:t>
      </w:r>
      <w:r>
        <w:t xml:space="preserve"> demonstrated good</w:t>
      </w:r>
      <w:r w:rsidR="005658D3">
        <w:t xml:space="preserve"> understanding </w:t>
      </w:r>
      <w:r>
        <w:t xml:space="preserve">of </w:t>
      </w:r>
      <w:r w:rsidR="005658D3">
        <w:t xml:space="preserve">concepts relevant to the focus industry indicated on the cover sheet. </w:t>
      </w:r>
      <w:r>
        <w:t xml:space="preserve">Typically, students </w:t>
      </w:r>
      <w:r w:rsidR="005658D3">
        <w:t xml:space="preserve">who had the most difficulty demonstrating and explaining concepts and issues related to </w:t>
      </w:r>
      <w:r>
        <w:t xml:space="preserve">the focus </w:t>
      </w:r>
      <w:r w:rsidR="005658D3">
        <w:t xml:space="preserve">industry and </w:t>
      </w:r>
      <w:r w:rsidR="005658D3" w:rsidRPr="00206E4C">
        <w:t>work</w:t>
      </w:r>
      <w:r w:rsidR="005658D3">
        <w:t xml:space="preserve"> </w:t>
      </w:r>
      <w:r>
        <w:t>did not have</w:t>
      </w:r>
      <w:r w:rsidR="005658D3">
        <w:t xml:space="preserve"> a clearly defined </w:t>
      </w:r>
      <w:r w:rsidR="0005340C">
        <w:t>issue</w:t>
      </w:r>
      <w:r w:rsidR="005658D3">
        <w:t xml:space="preserve"> for their investigation. It is also important that students </w:t>
      </w:r>
      <w:r>
        <w:t>who are investigating</w:t>
      </w:r>
      <w:r w:rsidR="005658D3">
        <w:t xml:space="preserve"> general workplace issues</w:t>
      </w:r>
      <w:r w:rsidR="00BF497A">
        <w:t xml:space="preserve"> (rather than issues specific to a particular workplace)</w:t>
      </w:r>
      <w:r w:rsidR="005658D3">
        <w:t xml:space="preserve"> </w:t>
      </w:r>
      <w:r>
        <w:t xml:space="preserve">provide appropriate </w:t>
      </w:r>
      <w:r w:rsidR="005658D3">
        <w:t>reference</w:t>
      </w:r>
      <w:r>
        <w:t>s for</w:t>
      </w:r>
      <w:r w:rsidR="005658D3">
        <w:t xml:space="preserve"> their information, as it </w:t>
      </w:r>
      <w:r>
        <w:t>is</w:t>
      </w:r>
      <w:r w:rsidR="005658D3">
        <w:t xml:space="preserve"> easy to copy and paste large chunks of general information.</w:t>
      </w:r>
    </w:p>
    <w:p w:rsidR="0021115D" w:rsidRDefault="00206E4C" w:rsidP="00206E4C">
      <w:pPr>
        <w:pStyle w:val="italicsheading"/>
      </w:pPr>
      <w:r>
        <w:t>Investigation and Analysis</w:t>
      </w:r>
    </w:p>
    <w:p w:rsidR="0021115D" w:rsidRDefault="0021115D" w:rsidP="00364672">
      <w:pPr>
        <w:pStyle w:val="BodyText1"/>
      </w:pPr>
      <w:r>
        <w:t xml:space="preserve">The </w:t>
      </w:r>
      <w:r w:rsidR="003C51CE">
        <w:t>i</w:t>
      </w:r>
      <w:r>
        <w:t>ssue</w:t>
      </w:r>
      <w:r w:rsidR="00BF497A">
        <w:t>s</w:t>
      </w:r>
      <w:r>
        <w:t xml:space="preserve"> </w:t>
      </w:r>
      <w:r w:rsidR="003C51CE">
        <w:t>i</w:t>
      </w:r>
      <w:r>
        <w:t xml:space="preserve">nvestigation </w:t>
      </w:r>
      <w:r w:rsidR="00F539A4">
        <w:t>allows the majority of students to address the investigation and analysis assessment design criteria</w:t>
      </w:r>
      <w:r>
        <w:t xml:space="preserve"> to a satisfactory standard</w:t>
      </w:r>
      <w:r w:rsidR="00F539A4">
        <w:t>,</w:t>
      </w:r>
      <w:r>
        <w:t xml:space="preserve"> as </w:t>
      </w:r>
      <w:r w:rsidR="00F539A4">
        <w:t xml:space="preserve">students need to investigate primary and secondary sources in order </w:t>
      </w:r>
      <w:r>
        <w:t xml:space="preserve">to understand an issue. This was more problematic for students undertaking a </w:t>
      </w:r>
      <w:r w:rsidR="003C51CE">
        <w:t>p</w:t>
      </w:r>
      <w:r>
        <w:t xml:space="preserve">ractical </w:t>
      </w:r>
      <w:r w:rsidR="003C51CE">
        <w:t>i</w:t>
      </w:r>
      <w:r>
        <w:t>nvestigation. The tendency is for students to choose a task or process that they are already familiar with, which in many cases then limits the amount of investigation undertaken.</w:t>
      </w:r>
      <w:r w:rsidR="003C51CE">
        <w:t xml:space="preserve"> </w:t>
      </w:r>
      <w:r w:rsidR="00364672">
        <w:t xml:space="preserve">It </w:t>
      </w:r>
      <w:r>
        <w:t xml:space="preserve">is important that </w:t>
      </w:r>
      <w:r w:rsidR="00364672">
        <w:t>even students who are completing familiar tasks</w:t>
      </w:r>
      <w:r w:rsidR="00364672" w:rsidDel="00364672">
        <w:t xml:space="preserve"> </w:t>
      </w:r>
      <w:r>
        <w:t xml:space="preserve">recognise </w:t>
      </w:r>
      <w:r w:rsidR="00F539A4">
        <w:t>that industry-</w:t>
      </w:r>
      <w:r>
        <w:t xml:space="preserve">specific skills are </w:t>
      </w:r>
      <w:r w:rsidR="00F539A4">
        <w:t xml:space="preserve">not </w:t>
      </w:r>
      <w:r>
        <w:t>developed in isolation and the most effective workers understand the importance of investigatin</w:t>
      </w:r>
      <w:r w:rsidR="00364672">
        <w:t>g</w:t>
      </w:r>
      <w:r>
        <w:t xml:space="preserve"> how to complete tasks and </w:t>
      </w:r>
      <w:r w:rsidR="00364672">
        <w:t xml:space="preserve">analysing </w:t>
      </w:r>
      <w:r>
        <w:t>the information that they d</w:t>
      </w:r>
      <w:r w:rsidR="00364672">
        <w:t>iscover.</w:t>
      </w:r>
    </w:p>
    <w:p w:rsidR="0021115D" w:rsidRDefault="0021115D" w:rsidP="002F795D">
      <w:pPr>
        <w:pStyle w:val="BodyText1"/>
      </w:pPr>
      <w:r>
        <w:t>It is also important that students understand the difference between presenting information</w:t>
      </w:r>
      <w:r w:rsidR="00364672">
        <w:t xml:space="preserve"> —</w:t>
      </w:r>
      <w:r>
        <w:t xml:space="preserve"> such as facts, statistics</w:t>
      </w:r>
      <w:r w:rsidR="00364672">
        <w:t>,</w:t>
      </w:r>
      <w:r>
        <w:t xml:space="preserve"> and graphs</w:t>
      </w:r>
      <w:r w:rsidR="00364672">
        <w:t xml:space="preserve"> —</w:t>
      </w:r>
      <w:r>
        <w:t xml:space="preserve"> and analysing information and what </w:t>
      </w:r>
      <w:r w:rsidR="00364672">
        <w:t xml:space="preserve">they have learnt </w:t>
      </w:r>
      <w:r>
        <w:t xml:space="preserve">about their </w:t>
      </w:r>
      <w:r w:rsidRPr="00206E4C">
        <w:t>chosen</w:t>
      </w:r>
      <w:r>
        <w:t xml:space="preserve"> topic.</w:t>
      </w:r>
      <w:r w:rsidR="003C51CE">
        <w:t xml:space="preserve"> </w:t>
      </w:r>
      <w:r>
        <w:t xml:space="preserve">Having information from more than one source and </w:t>
      </w:r>
      <w:r w:rsidR="00364672">
        <w:t xml:space="preserve">more than one type of </w:t>
      </w:r>
      <w:r>
        <w:t>source help</w:t>
      </w:r>
      <w:r w:rsidR="00364672">
        <w:t>s</w:t>
      </w:r>
      <w:r>
        <w:t xml:space="preserve"> students to synthesise and analyse a range of viewpoints before coming up with their own opinion or way of performing tasks.</w:t>
      </w:r>
      <w:r w:rsidR="003C51CE">
        <w:t xml:space="preserve"> </w:t>
      </w:r>
      <w:r w:rsidR="000A3E8F">
        <w:t xml:space="preserve">While </w:t>
      </w:r>
      <w:r w:rsidR="004D7C89">
        <w:t xml:space="preserve">surveys can be a helpful way of gathering information, </w:t>
      </w:r>
      <w:r w:rsidR="000A3E8F">
        <w:t>they are</w:t>
      </w:r>
      <w:r w:rsidR="004D7C89">
        <w:t xml:space="preserve"> not effective when the respondents are not involved in the chosen industry or have limited knowledge of what the student is investigating. </w:t>
      </w:r>
      <w:r>
        <w:t>In many cases</w:t>
      </w:r>
      <w:r w:rsidR="000A3E8F">
        <w:t>,</w:t>
      </w:r>
      <w:r>
        <w:t xml:space="preserve"> therefore, it was evident that significant investigation had taken place (IA2), </w:t>
      </w:r>
      <w:r w:rsidR="000A3E8F">
        <w:t xml:space="preserve">but </w:t>
      </w:r>
      <w:r>
        <w:t>student</w:t>
      </w:r>
      <w:r w:rsidR="002F795D">
        <w:t>s</w:t>
      </w:r>
      <w:r>
        <w:t xml:space="preserve"> had </w:t>
      </w:r>
      <w:r w:rsidR="002F795D">
        <w:t xml:space="preserve">not </w:t>
      </w:r>
      <w:r>
        <w:t>adequately analysed the relationship between iss</w:t>
      </w:r>
      <w:r w:rsidR="00364672">
        <w:t>ues, tasks</w:t>
      </w:r>
      <w:r w:rsidR="000A3E8F">
        <w:t>,</w:t>
      </w:r>
      <w:r w:rsidR="00364672">
        <w:t xml:space="preserve"> and </w:t>
      </w:r>
      <w:r w:rsidR="000A3E8F">
        <w:t xml:space="preserve">workplace </w:t>
      </w:r>
      <w:r w:rsidR="00364672">
        <w:t>practices (IA2).</w:t>
      </w:r>
    </w:p>
    <w:p w:rsidR="00BB2EAE" w:rsidRDefault="004D7C89" w:rsidP="000A3E8F">
      <w:pPr>
        <w:pStyle w:val="BodyText1"/>
      </w:pPr>
      <w:r>
        <w:lastRenderedPageBreak/>
        <w:t>Students who performed to</w:t>
      </w:r>
      <w:r w:rsidR="00C02A6F">
        <w:t xml:space="preserve"> the highest </w:t>
      </w:r>
      <w:r w:rsidR="000A3E8F">
        <w:t>grade band of</w:t>
      </w:r>
      <w:r w:rsidR="00C02A6F">
        <w:t xml:space="preserve"> this performance s</w:t>
      </w:r>
      <w:r>
        <w:t xml:space="preserve">tandard </w:t>
      </w:r>
      <w:r w:rsidR="000A3E8F">
        <w:t xml:space="preserve">investigated </w:t>
      </w:r>
      <w:r>
        <w:t>a range of both primary and secondary resources</w:t>
      </w:r>
      <w:r w:rsidR="000A3E8F">
        <w:t xml:space="preserve"> that were</w:t>
      </w:r>
      <w:r>
        <w:t xml:space="preserve"> local or national in origin.</w:t>
      </w:r>
    </w:p>
    <w:p w:rsidR="004D7C89" w:rsidRDefault="00206E4C" w:rsidP="0005340C">
      <w:pPr>
        <w:pStyle w:val="italicsheading"/>
        <w:keepNext/>
      </w:pPr>
      <w:r>
        <w:t>Reflection and Evaluation</w:t>
      </w:r>
    </w:p>
    <w:p w:rsidR="00687921" w:rsidRDefault="004D7C89" w:rsidP="00DC33C1">
      <w:pPr>
        <w:pStyle w:val="BodyText1"/>
      </w:pPr>
      <w:r>
        <w:t xml:space="preserve">Students </w:t>
      </w:r>
      <w:r w:rsidR="000A3E8F">
        <w:t>who reflected</w:t>
      </w:r>
      <w:r>
        <w:t xml:space="preserve"> on their time management, how well they wrote the paper</w:t>
      </w:r>
      <w:r w:rsidR="000A3E8F">
        <w:t>,</w:t>
      </w:r>
      <w:r>
        <w:t xml:space="preserve"> or </w:t>
      </w:r>
      <w:r w:rsidR="000A3E8F">
        <w:t xml:space="preserve">how well they </w:t>
      </w:r>
      <w:r>
        <w:t>completed a mu</w:t>
      </w:r>
      <w:r w:rsidR="00687921">
        <w:t xml:space="preserve">ltimodal presentation </w:t>
      </w:r>
      <w:r>
        <w:t>struggled to meet this</w:t>
      </w:r>
      <w:r w:rsidR="00687921">
        <w:t xml:space="preserve"> performance standard</w:t>
      </w:r>
      <w:r>
        <w:t xml:space="preserve"> to a satisfactory </w:t>
      </w:r>
      <w:r w:rsidR="00687921">
        <w:t>level.</w:t>
      </w:r>
      <w:r w:rsidR="003C51CE">
        <w:t xml:space="preserve"> </w:t>
      </w:r>
      <w:r w:rsidR="00687921">
        <w:t xml:space="preserve">In order to be </w:t>
      </w:r>
      <w:r w:rsidR="00687921" w:rsidRPr="00206E4C">
        <w:t>successful</w:t>
      </w:r>
      <w:r w:rsidR="00687921">
        <w:t xml:space="preserve">, it is essential that students reflect on and evaluate </w:t>
      </w:r>
      <w:r w:rsidR="000A3E8F">
        <w:t>what they have learnt</w:t>
      </w:r>
      <w:r w:rsidR="00687921">
        <w:t xml:space="preserve"> about </w:t>
      </w:r>
      <w:r w:rsidR="000A3E8F">
        <w:t xml:space="preserve">an </w:t>
      </w:r>
      <w:r w:rsidR="00687921">
        <w:t xml:space="preserve">industry and </w:t>
      </w:r>
      <w:r w:rsidR="000A3E8F">
        <w:t xml:space="preserve">about </w:t>
      </w:r>
      <w:r w:rsidR="00687921">
        <w:t xml:space="preserve">themselves as a worker. Markers found that generally students who undertook a </w:t>
      </w:r>
      <w:r w:rsidR="003C51CE">
        <w:t>p</w:t>
      </w:r>
      <w:r w:rsidR="00687921">
        <w:t xml:space="preserve">ractical </w:t>
      </w:r>
      <w:r w:rsidR="003C51CE">
        <w:t>i</w:t>
      </w:r>
      <w:r w:rsidR="00687921">
        <w:t xml:space="preserve">nvestigation were able to reflect on their finished product and evaluate its relevance or effectiveness. In comparison, many students undertaking an </w:t>
      </w:r>
      <w:r w:rsidR="003C51CE">
        <w:t>i</w:t>
      </w:r>
      <w:r w:rsidR="00687921">
        <w:t>ssue</w:t>
      </w:r>
      <w:r w:rsidR="000A3E8F">
        <w:t>s</w:t>
      </w:r>
      <w:r w:rsidR="00687921">
        <w:t xml:space="preserve"> </w:t>
      </w:r>
      <w:r w:rsidR="003C51CE">
        <w:t>i</w:t>
      </w:r>
      <w:r w:rsidR="00687921">
        <w:t>nvestigation demonstrated only superficial reflection on their learning and many struggle</w:t>
      </w:r>
      <w:r w:rsidR="001A51FA">
        <w:t>d</w:t>
      </w:r>
      <w:r w:rsidR="00687921">
        <w:t xml:space="preserve"> to evaluate </w:t>
      </w:r>
      <w:r w:rsidR="000A3E8F">
        <w:t>what they had learnt</w:t>
      </w:r>
      <w:r w:rsidR="00687921">
        <w:t xml:space="preserve"> about </w:t>
      </w:r>
      <w:r w:rsidR="000A3E8F">
        <w:t xml:space="preserve">an </w:t>
      </w:r>
      <w:r w:rsidR="00687921">
        <w:t xml:space="preserve">industry </w:t>
      </w:r>
      <w:r w:rsidR="000A3E8F">
        <w:t>and/</w:t>
      </w:r>
      <w:r w:rsidR="00687921">
        <w:t xml:space="preserve">or </w:t>
      </w:r>
      <w:r w:rsidR="000A3E8F">
        <w:t xml:space="preserve">about </w:t>
      </w:r>
      <w:r w:rsidR="00687921">
        <w:t xml:space="preserve">themselves as a worker. </w:t>
      </w:r>
      <w:r w:rsidR="00DC33C1">
        <w:t>If</w:t>
      </w:r>
      <w:r w:rsidR="00687921">
        <w:t xml:space="preserve"> students chose an appropriate, </w:t>
      </w:r>
      <w:r w:rsidR="000A3E8F">
        <w:t>industry-</w:t>
      </w:r>
      <w:r w:rsidR="00687921">
        <w:t>focused topic of relevance to their own future</w:t>
      </w:r>
      <w:r w:rsidR="00DC33C1">
        <w:t>, they</w:t>
      </w:r>
      <w:r w:rsidR="00687921">
        <w:t xml:space="preserve"> were generally far more successful in </w:t>
      </w:r>
      <w:r w:rsidR="00DC33C1">
        <w:t xml:space="preserve">meeting the </w:t>
      </w:r>
      <w:r w:rsidR="00687921">
        <w:t xml:space="preserve">reflection and evaluation </w:t>
      </w:r>
      <w:r w:rsidR="00DC33C1">
        <w:t xml:space="preserve">assessment design criteria </w:t>
      </w:r>
      <w:r w:rsidR="00687921">
        <w:t>than those who comp</w:t>
      </w:r>
      <w:r w:rsidR="00134B5A">
        <w:t xml:space="preserve">leted a generic issue or topic </w:t>
      </w:r>
      <w:r w:rsidR="00DC33C1">
        <w:t>that had no</w:t>
      </w:r>
      <w:r w:rsidR="00134B5A">
        <w:t xml:space="preserve"> personal relevance.</w:t>
      </w:r>
    </w:p>
    <w:p w:rsidR="004D7C89" w:rsidRPr="000C7C0A" w:rsidRDefault="00687921" w:rsidP="000E2264">
      <w:pPr>
        <w:pStyle w:val="BodyText1"/>
      </w:pPr>
      <w:r>
        <w:t xml:space="preserve">Students who were most successful reflected on and evaluated the impact of </w:t>
      </w:r>
      <w:r w:rsidR="00DC33C1">
        <w:t>what they had learnt</w:t>
      </w:r>
      <w:r>
        <w:t xml:space="preserve">, rather than merely discussing how well they </w:t>
      </w:r>
      <w:r w:rsidR="00134B5A">
        <w:t xml:space="preserve">completed </w:t>
      </w:r>
      <w:r w:rsidR="00DC33C1">
        <w:t xml:space="preserve">the </w:t>
      </w:r>
      <w:r w:rsidR="00134B5A">
        <w:t>process</w:t>
      </w:r>
      <w:r>
        <w:t xml:space="preserve">. It was noted that where students used specific headings, such as </w:t>
      </w:r>
      <w:r w:rsidR="003C51CE">
        <w:t>r</w:t>
      </w:r>
      <w:r>
        <w:t xml:space="preserve">eflection and </w:t>
      </w:r>
      <w:r w:rsidR="003C51CE">
        <w:t>e</w:t>
      </w:r>
      <w:r>
        <w:t>valuation</w:t>
      </w:r>
      <w:r w:rsidR="00DC33C1">
        <w:t>,</w:t>
      </w:r>
      <w:r>
        <w:t xml:space="preserve"> they </w:t>
      </w:r>
      <w:r w:rsidRPr="00206E4C">
        <w:t>were</w:t>
      </w:r>
      <w:r>
        <w:t xml:space="preserve"> much more likely to meet this performance stand</w:t>
      </w:r>
      <w:r w:rsidR="00364672">
        <w:t xml:space="preserve">ard to a satisfactory </w:t>
      </w:r>
      <w:r w:rsidR="00DC33C1">
        <w:t>level</w:t>
      </w:r>
      <w:r w:rsidR="00294BA8">
        <w:t xml:space="preserve"> as they had specifically addressed the criteria for assessment</w:t>
      </w:r>
      <w:r w:rsidR="00364672">
        <w:t>.</w:t>
      </w:r>
    </w:p>
    <w:p w:rsidR="001A0F23" w:rsidRPr="000B51DE" w:rsidRDefault="00532959">
      <w:pPr>
        <w:pStyle w:val="Heading2"/>
      </w:pPr>
      <w:r>
        <w:t>Operational Advice</w:t>
      </w:r>
    </w:p>
    <w:p w:rsidR="00695773" w:rsidRDefault="00695773" w:rsidP="00BF497A">
      <w:pPr>
        <w:pStyle w:val="BodyText1"/>
        <w:rPr>
          <w:rStyle w:val="CommentReference"/>
          <w:sz w:val="22"/>
        </w:rPr>
      </w:pPr>
      <w:r>
        <w:rPr>
          <w:rStyle w:val="CommentReference"/>
          <w:sz w:val="22"/>
        </w:rPr>
        <w:t xml:space="preserve">School assessment tasks </w:t>
      </w:r>
      <w:proofErr w:type="gramStart"/>
      <w:r>
        <w:rPr>
          <w:rStyle w:val="CommentReference"/>
          <w:sz w:val="22"/>
        </w:rPr>
        <w:t>are set and marked by teachers</w:t>
      </w:r>
      <w:proofErr w:type="gramEnd"/>
      <w:r>
        <w:rPr>
          <w:rStyle w:val="CommentReference"/>
          <w:sz w:val="22"/>
        </w:rPr>
        <w:t xml:space="preserve">. </w:t>
      </w:r>
      <w:proofErr w:type="gramStart"/>
      <w:r>
        <w:rPr>
          <w:rStyle w:val="CommentReference"/>
          <w:sz w:val="22"/>
        </w:rPr>
        <w:t>Teachers’ assessment decisions are reviewed by moderators</w:t>
      </w:r>
      <w:proofErr w:type="gramEnd"/>
      <w:r>
        <w:rPr>
          <w:rStyle w:val="CommentReference"/>
          <w:sz w:val="22"/>
        </w:rPr>
        <w:t>. Teacher grades/marks should be evident on all student school assessment work.</w:t>
      </w:r>
    </w:p>
    <w:p w:rsidR="00134B5A" w:rsidRPr="00206E4C" w:rsidRDefault="00134B5A" w:rsidP="00BF497A">
      <w:pPr>
        <w:pStyle w:val="BodyText1"/>
      </w:pPr>
      <w:r w:rsidRPr="00206E4C">
        <w:rPr>
          <w:rStyle w:val="CommentReference"/>
          <w:sz w:val="22"/>
        </w:rPr>
        <w:t xml:space="preserve">Of high importance is the use of an approved </w:t>
      </w:r>
      <w:r w:rsidR="009F55BC">
        <w:rPr>
          <w:rStyle w:val="CommentReference"/>
          <w:sz w:val="22"/>
        </w:rPr>
        <w:t>learning and assessment plan</w:t>
      </w:r>
      <w:r w:rsidR="002F795D">
        <w:rPr>
          <w:rStyle w:val="CommentReference"/>
          <w:sz w:val="22"/>
        </w:rPr>
        <w:t xml:space="preserve"> (LAP)</w:t>
      </w:r>
      <w:r w:rsidRPr="00206E4C">
        <w:rPr>
          <w:rStyle w:val="CommentReference"/>
          <w:sz w:val="22"/>
        </w:rPr>
        <w:t xml:space="preserve">. At central moderation there were a number of </w:t>
      </w:r>
      <w:r w:rsidR="002F795D">
        <w:rPr>
          <w:rStyle w:val="CommentReference"/>
          <w:sz w:val="22"/>
        </w:rPr>
        <w:t>LAPs</w:t>
      </w:r>
      <w:r w:rsidRPr="00206E4C">
        <w:rPr>
          <w:rStyle w:val="CommentReference"/>
          <w:sz w:val="22"/>
        </w:rPr>
        <w:t xml:space="preserve"> in the </w:t>
      </w:r>
      <w:r w:rsidR="00294BA8">
        <w:rPr>
          <w:rStyle w:val="CommentReference"/>
          <w:sz w:val="22"/>
        </w:rPr>
        <w:t xml:space="preserve">white </w:t>
      </w:r>
      <w:r w:rsidRPr="00206E4C">
        <w:rPr>
          <w:rStyle w:val="CommentReference"/>
          <w:sz w:val="22"/>
        </w:rPr>
        <w:t>subject package</w:t>
      </w:r>
      <w:r w:rsidR="00294BA8">
        <w:rPr>
          <w:rStyle w:val="CommentReference"/>
          <w:sz w:val="22"/>
        </w:rPr>
        <w:t>s</w:t>
      </w:r>
      <w:r w:rsidRPr="00206E4C">
        <w:rPr>
          <w:rStyle w:val="CommentReference"/>
          <w:sz w:val="22"/>
        </w:rPr>
        <w:t xml:space="preserve"> that were not approved </w:t>
      </w:r>
      <w:r w:rsidR="002F795D">
        <w:rPr>
          <w:rStyle w:val="CommentReference"/>
          <w:sz w:val="22"/>
        </w:rPr>
        <w:t>because they</w:t>
      </w:r>
      <w:r w:rsidRPr="00206E4C">
        <w:rPr>
          <w:rStyle w:val="CommentReference"/>
          <w:sz w:val="22"/>
        </w:rPr>
        <w:t xml:space="preserve"> did not allow all students to achieve satisfactorily across all </w:t>
      </w:r>
      <w:r w:rsidR="003C51CE">
        <w:rPr>
          <w:rStyle w:val="CommentReference"/>
          <w:sz w:val="22"/>
        </w:rPr>
        <w:t>a</w:t>
      </w:r>
      <w:r w:rsidRPr="00206E4C">
        <w:rPr>
          <w:rStyle w:val="CommentReference"/>
          <w:sz w:val="22"/>
        </w:rPr>
        <w:t xml:space="preserve">ssessment </w:t>
      </w:r>
      <w:r w:rsidR="003C51CE">
        <w:rPr>
          <w:rStyle w:val="CommentReference"/>
          <w:sz w:val="22"/>
        </w:rPr>
        <w:t>t</w:t>
      </w:r>
      <w:r w:rsidRPr="00206E4C">
        <w:rPr>
          <w:rStyle w:val="CommentReference"/>
          <w:sz w:val="22"/>
        </w:rPr>
        <w:t>ypes.</w:t>
      </w:r>
      <w:r w:rsidR="003C51CE">
        <w:rPr>
          <w:rStyle w:val="CommentReference"/>
          <w:sz w:val="22"/>
        </w:rPr>
        <w:t xml:space="preserve"> </w:t>
      </w:r>
      <w:r w:rsidR="00017AC7" w:rsidRPr="00206E4C">
        <w:rPr>
          <w:rStyle w:val="CommentReference"/>
          <w:sz w:val="22"/>
        </w:rPr>
        <w:t xml:space="preserve">This is important </w:t>
      </w:r>
      <w:r w:rsidR="002F795D">
        <w:rPr>
          <w:rStyle w:val="CommentReference"/>
          <w:sz w:val="22"/>
        </w:rPr>
        <w:t xml:space="preserve">because </w:t>
      </w:r>
      <w:r w:rsidR="00017AC7" w:rsidRPr="00206E4C">
        <w:rPr>
          <w:rStyle w:val="CommentReference"/>
          <w:sz w:val="22"/>
        </w:rPr>
        <w:t xml:space="preserve">an approved </w:t>
      </w:r>
      <w:r w:rsidR="00BF497A">
        <w:rPr>
          <w:rStyle w:val="CommentReference"/>
          <w:sz w:val="22"/>
        </w:rPr>
        <w:t>LAP</w:t>
      </w:r>
      <w:r w:rsidR="00017AC7" w:rsidRPr="00206E4C">
        <w:rPr>
          <w:rStyle w:val="CommentReference"/>
          <w:sz w:val="22"/>
        </w:rPr>
        <w:t xml:space="preserve"> will help to ensure that the correct </w:t>
      </w:r>
      <w:proofErr w:type="gramStart"/>
      <w:r w:rsidR="00017AC7" w:rsidRPr="00206E4C">
        <w:rPr>
          <w:rStyle w:val="CommentReference"/>
          <w:sz w:val="22"/>
        </w:rPr>
        <w:t>number of assessment tasks ar</w:t>
      </w:r>
      <w:r w:rsidR="009F55BC">
        <w:rPr>
          <w:rStyle w:val="CommentReference"/>
          <w:sz w:val="22"/>
        </w:rPr>
        <w:t>e</w:t>
      </w:r>
      <w:proofErr w:type="gramEnd"/>
      <w:r w:rsidR="009F55BC">
        <w:rPr>
          <w:rStyle w:val="CommentReference"/>
          <w:sz w:val="22"/>
        </w:rPr>
        <w:t xml:space="preserve"> completed and that all </w:t>
      </w:r>
      <w:r w:rsidR="002F795D">
        <w:rPr>
          <w:rStyle w:val="CommentReference"/>
          <w:sz w:val="22"/>
        </w:rPr>
        <w:t>assessment design criteria</w:t>
      </w:r>
      <w:r w:rsidR="00017AC7" w:rsidRPr="00206E4C">
        <w:rPr>
          <w:rStyle w:val="CommentReference"/>
          <w:sz w:val="22"/>
        </w:rPr>
        <w:t xml:space="preserve"> are </w:t>
      </w:r>
      <w:r w:rsidR="002F795D" w:rsidRPr="00206E4C">
        <w:rPr>
          <w:rStyle w:val="CommentReference"/>
          <w:sz w:val="22"/>
        </w:rPr>
        <w:t>a</w:t>
      </w:r>
      <w:r w:rsidR="002F795D">
        <w:rPr>
          <w:rStyle w:val="CommentReference"/>
          <w:sz w:val="22"/>
        </w:rPr>
        <w:t>ddr</w:t>
      </w:r>
      <w:r w:rsidR="002F795D" w:rsidRPr="00206E4C">
        <w:rPr>
          <w:rStyle w:val="CommentReference"/>
          <w:sz w:val="22"/>
        </w:rPr>
        <w:t>essed</w:t>
      </w:r>
      <w:r w:rsidR="00017AC7" w:rsidRPr="00206E4C">
        <w:rPr>
          <w:rStyle w:val="CommentReference"/>
          <w:sz w:val="22"/>
        </w:rPr>
        <w:t>.</w:t>
      </w:r>
    </w:p>
    <w:p w:rsidR="0034273F" w:rsidRPr="00206E4C" w:rsidRDefault="004E65CD" w:rsidP="004E65CD">
      <w:pPr>
        <w:pStyle w:val="BodyText1"/>
        <w:rPr>
          <w:rStyle w:val="CommentReference"/>
          <w:sz w:val="22"/>
        </w:rPr>
      </w:pPr>
      <w:r>
        <w:t>Pleasingly, m</w:t>
      </w:r>
      <w:r w:rsidRPr="00206E4C">
        <w:t xml:space="preserve">any </w:t>
      </w:r>
      <w:r w:rsidR="00134B5A" w:rsidRPr="00206E4C">
        <w:t xml:space="preserve">teachers used the </w:t>
      </w:r>
      <w:r w:rsidR="003C51CE">
        <w:t>a</w:t>
      </w:r>
      <w:r w:rsidR="00134B5A" w:rsidRPr="00206E4C">
        <w:t xml:space="preserve">ddendum section of the </w:t>
      </w:r>
      <w:r w:rsidR="002F795D">
        <w:t>LAP</w:t>
      </w:r>
      <w:r w:rsidR="00134B5A" w:rsidRPr="00206E4C">
        <w:t xml:space="preserve"> to</w:t>
      </w:r>
      <w:r w:rsidR="00134B5A" w:rsidRPr="00206E4C">
        <w:rPr>
          <w:rStyle w:val="CommentReference"/>
          <w:sz w:val="22"/>
        </w:rPr>
        <w:t xml:space="preserve"> indicate changes to their learning plan over the year. In general, teachers had </w:t>
      </w:r>
      <w:r>
        <w:rPr>
          <w:rStyle w:val="CommentReference"/>
          <w:sz w:val="22"/>
        </w:rPr>
        <w:t>customised</w:t>
      </w:r>
      <w:r w:rsidRPr="00206E4C">
        <w:rPr>
          <w:rStyle w:val="CommentReference"/>
          <w:sz w:val="22"/>
        </w:rPr>
        <w:t xml:space="preserve"> </w:t>
      </w:r>
      <w:r w:rsidR="00134B5A" w:rsidRPr="00206E4C">
        <w:rPr>
          <w:rStyle w:val="CommentReference"/>
          <w:sz w:val="22"/>
        </w:rPr>
        <w:t xml:space="preserve">the </w:t>
      </w:r>
      <w:r>
        <w:rPr>
          <w:rStyle w:val="CommentReference"/>
          <w:sz w:val="22"/>
        </w:rPr>
        <w:t>LAP</w:t>
      </w:r>
      <w:r w:rsidRPr="00206E4C">
        <w:rPr>
          <w:rStyle w:val="CommentReference"/>
          <w:sz w:val="22"/>
        </w:rPr>
        <w:t xml:space="preserve"> </w:t>
      </w:r>
      <w:r w:rsidR="00134B5A" w:rsidRPr="00206E4C">
        <w:rPr>
          <w:rStyle w:val="CommentReference"/>
          <w:sz w:val="22"/>
        </w:rPr>
        <w:t xml:space="preserve">to meet the needs of all </w:t>
      </w:r>
      <w:r>
        <w:rPr>
          <w:rStyle w:val="CommentReference"/>
          <w:sz w:val="22"/>
        </w:rPr>
        <w:t xml:space="preserve">the </w:t>
      </w:r>
      <w:r w:rsidR="00134B5A" w:rsidRPr="00206E4C">
        <w:rPr>
          <w:rStyle w:val="CommentReference"/>
          <w:sz w:val="22"/>
        </w:rPr>
        <w:t xml:space="preserve">students in their cohort. When coupled with the appropriate use of the </w:t>
      </w:r>
      <w:r w:rsidR="00311B75">
        <w:rPr>
          <w:rStyle w:val="CommentReference"/>
          <w:sz w:val="22"/>
        </w:rPr>
        <w:t>‘</w:t>
      </w:r>
      <w:r w:rsidR="00134B5A" w:rsidRPr="00206E4C">
        <w:rPr>
          <w:rStyle w:val="CommentReference"/>
          <w:sz w:val="22"/>
        </w:rPr>
        <w:t xml:space="preserve">Variations </w:t>
      </w:r>
      <w:r w:rsidR="002F795D">
        <w:rPr>
          <w:rStyle w:val="CommentReference"/>
          <w:sz w:val="22"/>
        </w:rPr>
        <w:t>—</w:t>
      </w:r>
      <w:r w:rsidR="002F795D" w:rsidRPr="00206E4C">
        <w:rPr>
          <w:rStyle w:val="CommentReference"/>
          <w:sz w:val="22"/>
        </w:rPr>
        <w:t xml:space="preserve"> </w:t>
      </w:r>
      <w:r w:rsidR="00134B5A" w:rsidRPr="00206E4C">
        <w:rPr>
          <w:rStyle w:val="CommentReference"/>
          <w:sz w:val="22"/>
        </w:rPr>
        <w:t>Moderation Materials</w:t>
      </w:r>
      <w:r w:rsidR="00311B75">
        <w:rPr>
          <w:rStyle w:val="CommentReference"/>
          <w:sz w:val="22"/>
        </w:rPr>
        <w:t>’</w:t>
      </w:r>
      <w:r w:rsidR="00134B5A" w:rsidRPr="00206E4C">
        <w:rPr>
          <w:rStyle w:val="CommentReference"/>
          <w:sz w:val="22"/>
        </w:rPr>
        <w:t xml:space="preserve"> form, moderators </w:t>
      </w:r>
      <w:r>
        <w:rPr>
          <w:rStyle w:val="CommentReference"/>
          <w:sz w:val="22"/>
        </w:rPr>
        <w:t>had</w:t>
      </w:r>
      <w:r w:rsidR="00134B5A" w:rsidRPr="00206E4C">
        <w:rPr>
          <w:rStyle w:val="CommentReference"/>
          <w:sz w:val="22"/>
        </w:rPr>
        <w:t xml:space="preserve"> a more complete picture of the</w:t>
      </w:r>
      <w:r w:rsidR="00294BA8">
        <w:rPr>
          <w:rStyle w:val="CommentReference"/>
          <w:sz w:val="22"/>
        </w:rPr>
        <w:t xml:space="preserve"> student</w:t>
      </w:r>
      <w:r w:rsidR="00134B5A" w:rsidRPr="00206E4C">
        <w:rPr>
          <w:rStyle w:val="CommentReference"/>
          <w:sz w:val="22"/>
        </w:rPr>
        <w:t xml:space="preserve"> cohort</w:t>
      </w:r>
      <w:r>
        <w:rPr>
          <w:rStyle w:val="CommentReference"/>
          <w:sz w:val="22"/>
        </w:rPr>
        <w:t>,</w:t>
      </w:r>
      <w:r w:rsidR="00134B5A" w:rsidRPr="00206E4C">
        <w:rPr>
          <w:rStyle w:val="CommentReference"/>
          <w:sz w:val="22"/>
        </w:rPr>
        <w:t xml:space="preserve"> </w:t>
      </w:r>
      <w:r>
        <w:rPr>
          <w:rStyle w:val="CommentReference"/>
          <w:sz w:val="22"/>
        </w:rPr>
        <w:t>which</w:t>
      </w:r>
      <w:r w:rsidRPr="00206E4C">
        <w:rPr>
          <w:rStyle w:val="CommentReference"/>
          <w:sz w:val="22"/>
        </w:rPr>
        <w:t xml:space="preserve"> help</w:t>
      </w:r>
      <w:r>
        <w:rPr>
          <w:rStyle w:val="CommentReference"/>
          <w:sz w:val="22"/>
        </w:rPr>
        <w:t>ed</w:t>
      </w:r>
      <w:r w:rsidRPr="00206E4C">
        <w:rPr>
          <w:rStyle w:val="CommentReference"/>
          <w:sz w:val="22"/>
        </w:rPr>
        <w:t xml:space="preserve"> </w:t>
      </w:r>
      <w:r>
        <w:rPr>
          <w:rStyle w:val="CommentReference"/>
          <w:sz w:val="22"/>
        </w:rPr>
        <w:t>them to</w:t>
      </w:r>
      <w:r w:rsidR="00134B5A" w:rsidRPr="00206E4C">
        <w:rPr>
          <w:rStyle w:val="CommentReference"/>
          <w:sz w:val="22"/>
        </w:rPr>
        <w:t xml:space="preserve"> </w:t>
      </w:r>
      <w:r w:rsidRPr="00206E4C">
        <w:rPr>
          <w:rStyle w:val="CommentReference"/>
          <w:sz w:val="22"/>
        </w:rPr>
        <w:t>verif</w:t>
      </w:r>
      <w:r>
        <w:rPr>
          <w:rStyle w:val="CommentReference"/>
          <w:sz w:val="22"/>
        </w:rPr>
        <w:t>y</w:t>
      </w:r>
      <w:r w:rsidRPr="00206E4C">
        <w:rPr>
          <w:rStyle w:val="CommentReference"/>
          <w:sz w:val="22"/>
        </w:rPr>
        <w:t xml:space="preserve"> </w:t>
      </w:r>
      <w:r w:rsidR="00134B5A" w:rsidRPr="00206E4C">
        <w:rPr>
          <w:rStyle w:val="CommentReference"/>
          <w:sz w:val="22"/>
        </w:rPr>
        <w:t>teacher</w:t>
      </w:r>
      <w:r>
        <w:rPr>
          <w:rStyle w:val="CommentReference"/>
          <w:sz w:val="22"/>
        </w:rPr>
        <w:t>s’ assessment decisions</w:t>
      </w:r>
      <w:r w:rsidR="00134B5A" w:rsidRPr="00206E4C">
        <w:rPr>
          <w:rStyle w:val="CommentReference"/>
          <w:sz w:val="22"/>
        </w:rPr>
        <w:t>.</w:t>
      </w:r>
    </w:p>
    <w:p w:rsidR="001A0F23" w:rsidRDefault="001A0F23" w:rsidP="004E65CD">
      <w:pPr>
        <w:pStyle w:val="BodyText1"/>
      </w:pPr>
      <w:r w:rsidRPr="00206E4C">
        <w:t xml:space="preserve">Packaging and presentation of </w:t>
      </w:r>
      <w:r w:rsidR="004E65CD">
        <w:t xml:space="preserve">student </w:t>
      </w:r>
      <w:r w:rsidRPr="00206E4C">
        <w:t>materials</w:t>
      </w:r>
      <w:r w:rsidR="0034273F" w:rsidRPr="00206E4C">
        <w:t xml:space="preserve"> was generally done well</w:t>
      </w:r>
      <w:r w:rsidR="004E65CD">
        <w:t>;</w:t>
      </w:r>
      <w:r w:rsidR="004E65CD" w:rsidRPr="00206E4C">
        <w:t xml:space="preserve"> </w:t>
      </w:r>
      <w:r w:rsidR="0034273F" w:rsidRPr="00206E4C">
        <w:t>however a few key items to consider</w:t>
      </w:r>
      <w:r w:rsidR="0034273F">
        <w:t xml:space="preserve"> when packaging </w:t>
      </w:r>
      <w:r w:rsidR="004E65CD">
        <w:t>students</w:t>
      </w:r>
      <w:r w:rsidR="00796AB0">
        <w:t>’</w:t>
      </w:r>
      <w:r w:rsidR="004E65CD">
        <w:t xml:space="preserve"> </w:t>
      </w:r>
      <w:r w:rsidR="0034273F">
        <w:t>materials for final moderation are:</w:t>
      </w:r>
    </w:p>
    <w:p w:rsidR="0034273F" w:rsidRDefault="00002B14" w:rsidP="00796AB0">
      <w:pPr>
        <w:pStyle w:val="BodyText1"/>
        <w:numPr>
          <w:ilvl w:val="0"/>
          <w:numId w:val="16"/>
        </w:numPr>
      </w:pPr>
      <w:r>
        <w:t>A</w:t>
      </w:r>
      <w:r w:rsidR="0034273F">
        <w:t xml:space="preserve"> complete set of </w:t>
      </w:r>
      <w:r w:rsidR="004E65CD">
        <w:t xml:space="preserve">assessment </w:t>
      </w:r>
      <w:r w:rsidR="0034273F">
        <w:t xml:space="preserve">task sheets is included with the </w:t>
      </w:r>
      <w:r w:rsidR="004E65CD">
        <w:t>LAP</w:t>
      </w:r>
      <w:r w:rsidR="00572D51">
        <w:t>.</w:t>
      </w:r>
    </w:p>
    <w:p w:rsidR="0034273F" w:rsidRDefault="0034273F" w:rsidP="00BF497A">
      <w:pPr>
        <w:pStyle w:val="BodyText1"/>
        <w:numPr>
          <w:ilvl w:val="0"/>
          <w:numId w:val="16"/>
        </w:numPr>
      </w:pPr>
      <w:r>
        <w:t xml:space="preserve">Student work is organised and </w:t>
      </w:r>
      <w:r w:rsidR="00002B14">
        <w:t>include</w:t>
      </w:r>
      <w:r w:rsidR="00294BA8">
        <w:t>s</w:t>
      </w:r>
      <w:r w:rsidR="00002B14">
        <w:t xml:space="preserve"> </w:t>
      </w:r>
      <w:r>
        <w:t xml:space="preserve">marks or </w:t>
      </w:r>
      <w:r w:rsidR="00002B14">
        <w:t xml:space="preserve">performance </w:t>
      </w:r>
      <w:r>
        <w:t>standards</w:t>
      </w:r>
      <w:r w:rsidR="00002B14">
        <w:t xml:space="preserve"> rubrics</w:t>
      </w:r>
      <w:r>
        <w:t xml:space="preserve"> shaded by the teacher </w:t>
      </w:r>
      <w:r w:rsidR="00BF497A">
        <w:t>to</w:t>
      </w:r>
      <w:r w:rsidR="00294BA8">
        <w:t xml:space="preserve"> indicate the grade level awarded, </w:t>
      </w:r>
      <w:r>
        <w:t xml:space="preserve">with supporting </w:t>
      </w:r>
      <w:r>
        <w:lastRenderedPageBreak/>
        <w:t>comments</w:t>
      </w:r>
      <w:r w:rsidR="00294BA8">
        <w:t xml:space="preserve"> as appropriate</w:t>
      </w:r>
      <w:r>
        <w:t xml:space="preserve">. This helps the moderation team </w:t>
      </w:r>
      <w:r w:rsidR="00572D51">
        <w:t xml:space="preserve">to </w:t>
      </w:r>
      <w:r w:rsidR="00002B14">
        <w:t xml:space="preserve">confirm </w:t>
      </w:r>
      <w:r w:rsidR="00572D51">
        <w:t>assessment decisions made by the teacher.</w:t>
      </w:r>
    </w:p>
    <w:p w:rsidR="00572D51" w:rsidRDefault="00BF497A" w:rsidP="00002B14">
      <w:pPr>
        <w:pStyle w:val="BodyText1"/>
        <w:numPr>
          <w:ilvl w:val="0"/>
          <w:numId w:val="16"/>
        </w:numPr>
      </w:pPr>
      <w:r>
        <w:t>All</w:t>
      </w:r>
      <w:r w:rsidR="0034273F">
        <w:t xml:space="preserve"> </w:t>
      </w:r>
      <w:r w:rsidR="00002B14">
        <w:t xml:space="preserve">student </w:t>
      </w:r>
      <w:r w:rsidR="0034273F">
        <w:t>work is clearly labelled</w:t>
      </w:r>
      <w:r w:rsidR="00364672">
        <w:t>.</w:t>
      </w:r>
    </w:p>
    <w:p w:rsidR="00572D51" w:rsidRPr="00572D51" w:rsidRDefault="00002B14" w:rsidP="00931633">
      <w:pPr>
        <w:pStyle w:val="BodyText1"/>
        <w:numPr>
          <w:ilvl w:val="0"/>
          <w:numId w:val="16"/>
        </w:numPr>
        <w:rPr>
          <w:rFonts w:ascii="Times New Roman" w:hAnsi="Times New Roman"/>
        </w:rPr>
      </w:pPr>
      <w:r>
        <w:t>F</w:t>
      </w:r>
      <w:r w:rsidR="00572D51" w:rsidRPr="00572D51">
        <w:t>or Assessment Type 2: Performance</w:t>
      </w:r>
      <w:r>
        <w:t>,</w:t>
      </w:r>
      <w:r w:rsidR="00572D51" w:rsidRPr="00572D51">
        <w:t xml:space="preserve"> it is essential that all </w:t>
      </w:r>
      <w:r w:rsidR="00294BA8">
        <w:t xml:space="preserve">Workplace Practices </w:t>
      </w:r>
      <w:r w:rsidR="00572D51" w:rsidRPr="00572D51">
        <w:t>forms are included in the materials submitted for moderation: Teacher</w:t>
      </w:r>
      <w:r>
        <w:t>’s</w:t>
      </w:r>
      <w:r w:rsidR="00572D51" w:rsidRPr="00572D51">
        <w:t xml:space="preserve"> Report on Student Performance Vocational Learning, </w:t>
      </w:r>
      <w:r w:rsidRPr="00572D51">
        <w:t>Teacher</w:t>
      </w:r>
      <w:r>
        <w:t>’s</w:t>
      </w:r>
      <w:r w:rsidRPr="00572D51">
        <w:t xml:space="preserve"> Report on Student Performance </w:t>
      </w:r>
      <w:r w:rsidR="00572D51" w:rsidRPr="00572D51">
        <w:t xml:space="preserve">VET, or </w:t>
      </w:r>
      <w:r>
        <w:t>Report on P</w:t>
      </w:r>
      <w:r w:rsidR="00572D51" w:rsidRPr="00572D51">
        <w:t xml:space="preserve">erformance as a </w:t>
      </w:r>
      <w:r>
        <w:t xml:space="preserve">Personal </w:t>
      </w:r>
      <w:r w:rsidR="00572D51" w:rsidRPr="00572D51">
        <w:t xml:space="preserve">Carer; </w:t>
      </w:r>
      <w:r>
        <w:t>and,</w:t>
      </w:r>
      <w:r w:rsidRPr="00572D51">
        <w:t xml:space="preserve"> wh</w:t>
      </w:r>
      <w:r>
        <w:t>ere applicable</w:t>
      </w:r>
      <w:r w:rsidR="000E2264">
        <w:t>,</w:t>
      </w:r>
      <w:r>
        <w:t xml:space="preserve"> </w:t>
      </w:r>
      <w:r w:rsidR="00572D51" w:rsidRPr="00572D51">
        <w:t>Workplace Supervisor’s Report</w:t>
      </w:r>
      <w:r w:rsidR="00572D51">
        <w:t xml:space="preserve"> and the Agreement to</w:t>
      </w:r>
      <w:r w:rsidR="00572D51" w:rsidRPr="00572D51">
        <w:t xml:space="preserve"> </w:t>
      </w:r>
      <w:r>
        <w:t>U</w:t>
      </w:r>
      <w:r w:rsidRPr="00572D51">
        <w:t>se Part</w:t>
      </w:r>
      <w:r>
        <w:t>-</w:t>
      </w:r>
      <w:r w:rsidR="00572D51" w:rsidRPr="00572D51">
        <w:t xml:space="preserve">time </w:t>
      </w:r>
      <w:r>
        <w:t>or</w:t>
      </w:r>
      <w:r w:rsidRPr="00572D51">
        <w:t xml:space="preserve"> </w:t>
      </w:r>
      <w:r>
        <w:t>C</w:t>
      </w:r>
      <w:r w:rsidRPr="00572D51">
        <w:t xml:space="preserve">asual </w:t>
      </w:r>
      <w:r>
        <w:t>E</w:t>
      </w:r>
      <w:r w:rsidRPr="00572D51">
        <w:t xml:space="preserve">mployment </w:t>
      </w:r>
      <w:r w:rsidR="00572D51" w:rsidRPr="00572D51">
        <w:t xml:space="preserve">for </w:t>
      </w:r>
      <w:r>
        <w:t>S</w:t>
      </w:r>
      <w:r w:rsidRPr="00572D51">
        <w:t>tudy</w:t>
      </w:r>
      <w:r w:rsidR="00572D51">
        <w:t>.</w:t>
      </w:r>
    </w:p>
    <w:p w:rsidR="001A0F23" w:rsidRPr="00572D51" w:rsidRDefault="001A0F23" w:rsidP="00436289">
      <w:pPr>
        <w:pStyle w:val="Heading2"/>
        <w:rPr>
          <w:rFonts w:ascii="Times New Roman" w:hAnsi="Times New Roman"/>
        </w:rPr>
      </w:pPr>
      <w:r>
        <w:t>General Comments</w:t>
      </w:r>
    </w:p>
    <w:p w:rsidR="004C6680" w:rsidRDefault="001A51FA" w:rsidP="000E2264">
      <w:pPr>
        <w:pStyle w:val="BodyText1"/>
      </w:pPr>
      <w:r>
        <w:t>I</w:t>
      </w:r>
      <w:r w:rsidR="004C6680">
        <w:t xml:space="preserve">t is clear that the most successful courses </w:t>
      </w:r>
      <w:r w:rsidR="000E2264">
        <w:t xml:space="preserve">in Workplace Practices </w:t>
      </w:r>
      <w:r w:rsidR="004C6680">
        <w:t xml:space="preserve">are those that </w:t>
      </w:r>
      <w:r w:rsidR="000E2264">
        <w:t>allow</w:t>
      </w:r>
      <w:r w:rsidR="004C6680">
        <w:t xml:space="preserve"> students </w:t>
      </w:r>
      <w:r w:rsidR="000E2264">
        <w:t xml:space="preserve">to focus on </w:t>
      </w:r>
      <w:r w:rsidR="004C6680">
        <w:t>a particular industry</w:t>
      </w:r>
      <w:r w:rsidR="000E2264">
        <w:t>, so that</w:t>
      </w:r>
      <w:r w:rsidR="004C6680">
        <w:t xml:space="preserve"> students are able to make meaning of their learning and see the relevance of the topics covered in each </w:t>
      </w:r>
      <w:r w:rsidR="003C51CE">
        <w:t>a</w:t>
      </w:r>
      <w:r w:rsidR="004C6680">
        <w:t xml:space="preserve">ssessment </w:t>
      </w:r>
      <w:r w:rsidR="003C51CE">
        <w:t>t</w:t>
      </w:r>
      <w:r w:rsidR="00364672">
        <w:t>ype.</w:t>
      </w:r>
    </w:p>
    <w:p w:rsidR="001A0F23" w:rsidRPr="00436289" w:rsidRDefault="004C6680" w:rsidP="001A0F23">
      <w:pPr>
        <w:spacing w:before="480"/>
        <w:rPr>
          <w:rFonts w:ascii="Arial" w:hAnsi="Arial" w:cs="Arial"/>
          <w:szCs w:val="22"/>
        </w:rPr>
      </w:pPr>
      <w:r w:rsidRPr="00436289">
        <w:rPr>
          <w:rFonts w:ascii="Arial" w:hAnsi="Arial" w:cs="Arial"/>
          <w:szCs w:val="22"/>
        </w:rPr>
        <w:t>Workplace Practices</w:t>
      </w:r>
    </w:p>
    <w:p w:rsidR="00DC7C11" w:rsidRPr="00EF31AB" w:rsidRDefault="001A0F23" w:rsidP="001B602D">
      <w:r w:rsidRPr="00EF31AB">
        <w:rPr>
          <w:rFonts w:ascii="Arial" w:hAnsi="Arial" w:cs="Arial"/>
          <w:szCs w:val="22"/>
        </w:rPr>
        <w:t>Chief Assessor</w:t>
      </w:r>
    </w:p>
    <w:sectPr w:rsidR="00DC7C11" w:rsidRPr="00EF31AB" w:rsidSect="0075556F">
      <w:footerReference w:type="default" r:id="rId15"/>
      <w:headerReference w:type="first" r:id="rId16"/>
      <w:footerReference w:type="first" r:id="rId17"/>
      <w:pgSz w:w="11907" w:h="16840" w:code="9"/>
      <w:pgMar w:top="1440" w:right="1797" w:bottom="1135" w:left="1797"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2BC" w:rsidRDefault="00C252BC">
      <w:r>
        <w:separator/>
      </w:r>
    </w:p>
  </w:endnote>
  <w:endnote w:type="continuationSeparator" w:id="0">
    <w:p w:rsidR="00C252BC" w:rsidRDefault="00C25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264" w:rsidRDefault="000E22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E2264" w:rsidRDefault="000E226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264" w:rsidRDefault="000E22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E2264" w:rsidRDefault="000E2264">
    <w:pPr>
      <w:pStyle w:val="Footer"/>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264" w:rsidRPr="00AD389A" w:rsidRDefault="000E2264" w:rsidP="000A7E3A">
    <w:pPr>
      <w:pStyle w:val="Footer"/>
      <w:tabs>
        <w:tab w:val="clear" w:pos="4153"/>
      </w:tabs>
      <w:ind w:right="91"/>
      <w:rPr>
        <w:rFonts w:ascii="Arial" w:hAnsi="Arial" w:cs="Arial"/>
        <w:sz w:val="18"/>
        <w:szCs w:val="18"/>
        <w:lang w:val="en-US"/>
      </w:rPr>
    </w:pPr>
    <w:r w:rsidRPr="00AD389A">
      <w:rPr>
        <w:rFonts w:ascii="Arial" w:hAnsi="Arial" w:cs="Arial"/>
        <w:sz w:val="18"/>
        <w:szCs w:val="18"/>
        <w:lang w:val="en-US"/>
      </w:rPr>
      <w:t>Workplace Practices 2014 Chief Assessor’s Report</w:t>
    </w:r>
    <w:r w:rsidRPr="00AD389A">
      <w:rPr>
        <w:rFonts w:ascii="Arial" w:hAnsi="Arial" w:cs="Arial"/>
        <w:sz w:val="18"/>
        <w:szCs w:val="18"/>
        <w:lang w:val="en-US"/>
      </w:rPr>
      <w:tab/>
      <w:t xml:space="preserve">Page </w:t>
    </w:r>
    <w:r w:rsidRPr="00AD389A">
      <w:rPr>
        <w:rFonts w:ascii="Arial" w:hAnsi="Arial" w:cs="Arial"/>
        <w:sz w:val="18"/>
        <w:szCs w:val="18"/>
        <w:lang w:val="en-US"/>
      </w:rPr>
      <w:fldChar w:fldCharType="begin"/>
    </w:r>
    <w:r w:rsidRPr="00AD389A">
      <w:rPr>
        <w:rFonts w:ascii="Arial" w:hAnsi="Arial" w:cs="Arial"/>
        <w:sz w:val="18"/>
        <w:szCs w:val="18"/>
        <w:lang w:val="en-US"/>
      </w:rPr>
      <w:instrText xml:space="preserve"> PAGE </w:instrText>
    </w:r>
    <w:r w:rsidRPr="00AD389A">
      <w:rPr>
        <w:rFonts w:ascii="Arial" w:hAnsi="Arial" w:cs="Arial"/>
        <w:sz w:val="18"/>
        <w:szCs w:val="18"/>
        <w:lang w:val="en-US"/>
      </w:rPr>
      <w:fldChar w:fldCharType="separate"/>
    </w:r>
    <w:r w:rsidR="009D775C">
      <w:rPr>
        <w:rFonts w:ascii="Arial" w:hAnsi="Arial" w:cs="Arial"/>
        <w:noProof/>
        <w:sz w:val="18"/>
        <w:szCs w:val="18"/>
        <w:lang w:val="en-US"/>
      </w:rPr>
      <w:t>9</w:t>
    </w:r>
    <w:r w:rsidRPr="00AD389A">
      <w:rPr>
        <w:rFonts w:ascii="Arial" w:hAnsi="Arial" w:cs="Arial"/>
        <w:sz w:val="18"/>
        <w:szCs w:val="18"/>
        <w:lang w:val="en-US"/>
      </w:rPr>
      <w:fldChar w:fldCharType="end"/>
    </w:r>
    <w:r w:rsidRPr="00AD389A">
      <w:rPr>
        <w:rFonts w:ascii="Arial" w:hAnsi="Arial" w:cs="Arial"/>
        <w:sz w:val="18"/>
        <w:szCs w:val="18"/>
        <w:lang w:val="en-US"/>
      </w:rPr>
      <w:t xml:space="preserve"> of </w:t>
    </w:r>
    <w:r w:rsidRPr="00AD389A">
      <w:rPr>
        <w:rFonts w:ascii="Arial" w:hAnsi="Arial" w:cs="Arial"/>
        <w:sz w:val="18"/>
        <w:szCs w:val="18"/>
        <w:lang w:val="en-US"/>
      </w:rPr>
      <w:fldChar w:fldCharType="begin"/>
    </w:r>
    <w:r w:rsidRPr="00AD389A">
      <w:rPr>
        <w:rFonts w:ascii="Arial" w:hAnsi="Arial" w:cs="Arial"/>
        <w:sz w:val="18"/>
        <w:szCs w:val="18"/>
        <w:lang w:val="en-US"/>
      </w:rPr>
      <w:instrText xml:space="preserve"> NUMPAGES </w:instrText>
    </w:r>
    <w:r w:rsidRPr="00AD389A">
      <w:rPr>
        <w:rFonts w:ascii="Arial" w:hAnsi="Arial" w:cs="Arial"/>
        <w:sz w:val="18"/>
        <w:szCs w:val="18"/>
        <w:lang w:val="en-US"/>
      </w:rPr>
      <w:fldChar w:fldCharType="separate"/>
    </w:r>
    <w:r w:rsidR="009D775C">
      <w:rPr>
        <w:rFonts w:ascii="Arial" w:hAnsi="Arial" w:cs="Arial"/>
        <w:noProof/>
        <w:sz w:val="18"/>
        <w:szCs w:val="18"/>
        <w:lang w:val="en-US"/>
      </w:rPr>
      <w:t>9</w:t>
    </w:r>
    <w:r w:rsidRPr="00AD389A">
      <w:rPr>
        <w:rFonts w:ascii="Arial" w:hAnsi="Arial" w:cs="Arial"/>
        <w:sz w:val="18"/>
        <w:szCs w:val="18"/>
        <w:lang w:val="en-U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264" w:rsidRDefault="000E22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E2264" w:rsidRDefault="000E2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2BC" w:rsidRDefault="00C252BC">
      <w:r>
        <w:separator/>
      </w:r>
    </w:p>
  </w:footnote>
  <w:footnote w:type="continuationSeparator" w:id="0">
    <w:p w:rsidR="00C252BC" w:rsidRDefault="00C252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264" w:rsidRDefault="000E226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264" w:rsidRDefault="000E2264">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EA8F8A"/>
    <w:lvl w:ilvl="0">
      <w:start w:val="1"/>
      <w:numFmt w:val="decimal"/>
      <w:lvlText w:val="%1."/>
      <w:lvlJc w:val="left"/>
      <w:pPr>
        <w:tabs>
          <w:tab w:val="num" w:pos="1492"/>
        </w:tabs>
        <w:ind w:left="1492" w:hanging="360"/>
      </w:pPr>
    </w:lvl>
  </w:abstractNum>
  <w:abstractNum w:abstractNumId="1">
    <w:nsid w:val="FFFFFF7D"/>
    <w:multiLevelType w:val="singleLevel"/>
    <w:tmpl w:val="5EE62D20"/>
    <w:lvl w:ilvl="0">
      <w:start w:val="1"/>
      <w:numFmt w:val="decimal"/>
      <w:lvlText w:val="%1."/>
      <w:lvlJc w:val="left"/>
      <w:pPr>
        <w:tabs>
          <w:tab w:val="num" w:pos="1209"/>
        </w:tabs>
        <w:ind w:left="1209" w:hanging="360"/>
      </w:pPr>
    </w:lvl>
  </w:abstractNum>
  <w:abstractNum w:abstractNumId="2">
    <w:nsid w:val="FFFFFF7E"/>
    <w:multiLevelType w:val="singleLevel"/>
    <w:tmpl w:val="E4A08820"/>
    <w:lvl w:ilvl="0">
      <w:start w:val="1"/>
      <w:numFmt w:val="decimal"/>
      <w:lvlText w:val="%1."/>
      <w:lvlJc w:val="left"/>
      <w:pPr>
        <w:tabs>
          <w:tab w:val="num" w:pos="926"/>
        </w:tabs>
        <w:ind w:left="926" w:hanging="360"/>
      </w:pPr>
    </w:lvl>
  </w:abstractNum>
  <w:abstractNum w:abstractNumId="3">
    <w:nsid w:val="FFFFFF7F"/>
    <w:multiLevelType w:val="singleLevel"/>
    <w:tmpl w:val="CCC2B564"/>
    <w:lvl w:ilvl="0">
      <w:start w:val="1"/>
      <w:numFmt w:val="decimal"/>
      <w:lvlText w:val="%1."/>
      <w:lvlJc w:val="left"/>
      <w:pPr>
        <w:tabs>
          <w:tab w:val="num" w:pos="643"/>
        </w:tabs>
        <w:ind w:left="643" w:hanging="360"/>
      </w:pPr>
    </w:lvl>
  </w:abstractNum>
  <w:abstractNum w:abstractNumId="4">
    <w:nsid w:val="FFFFFF80"/>
    <w:multiLevelType w:val="singleLevel"/>
    <w:tmpl w:val="3012B3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9E76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788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70DF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D0311E"/>
    <w:lvl w:ilvl="0">
      <w:start w:val="1"/>
      <w:numFmt w:val="decimal"/>
      <w:lvlText w:val="%1."/>
      <w:lvlJc w:val="left"/>
      <w:pPr>
        <w:tabs>
          <w:tab w:val="num" w:pos="360"/>
        </w:tabs>
        <w:ind w:left="360" w:hanging="360"/>
      </w:pPr>
    </w:lvl>
  </w:abstractNum>
  <w:abstractNum w:abstractNumId="9">
    <w:nsid w:val="FFFFFF89"/>
    <w:multiLevelType w:val="singleLevel"/>
    <w:tmpl w:val="C3F2B1EE"/>
    <w:lvl w:ilvl="0">
      <w:start w:val="1"/>
      <w:numFmt w:val="bullet"/>
      <w:lvlText w:val=""/>
      <w:lvlJc w:val="left"/>
      <w:pPr>
        <w:tabs>
          <w:tab w:val="num" w:pos="360"/>
        </w:tabs>
        <w:ind w:left="360" w:hanging="360"/>
      </w:pPr>
      <w:rPr>
        <w:rFonts w:ascii="Symbol" w:hAnsi="Symbol" w:hint="default"/>
      </w:rPr>
    </w:lvl>
  </w:abstractNum>
  <w:abstractNum w:abstractNumId="10">
    <w:nsid w:val="116041B1"/>
    <w:multiLevelType w:val="multilevel"/>
    <w:tmpl w:val="6FCA32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E8C1C2B"/>
    <w:multiLevelType w:val="hybridMultilevel"/>
    <w:tmpl w:val="AAD8CD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FD56562"/>
    <w:multiLevelType w:val="hybridMultilevel"/>
    <w:tmpl w:val="6FCA3298"/>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296074EE"/>
    <w:multiLevelType w:val="hybridMultilevel"/>
    <w:tmpl w:val="30187A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44181A55"/>
    <w:multiLevelType w:val="hybridMultilevel"/>
    <w:tmpl w:val="ADD42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AA720F9"/>
    <w:multiLevelType w:val="hybridMultilevel"/>
    <w:tmpl w:val="75582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1950B30"/>
    <w:multiLevelType w:val="hybridMultilevel"/>
    <w:tmpl w:val="A0CE95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6AD24A84"/>
    <w:multiLevelType w:val="hybridMultilevel"/>
    <w:tmpl w:val="CFFEB8D0"/>
    <w:lvl w:ilvl="0" w:tplc="BA944308">
      <w:start w:val="1"/>
      <w:numFmt w:val="bullet"/>
      <w:pStyle w:val="dotpoints"/>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7BF96517"/>
    <w:multiLevelType w:val="hybridMultilevel"/>
    <w:tmpl w:val="6F86EA78"/>
    <w:lvl w:ilvl="0" w:tplc="B832F6AC">
      <w:start w:val="1"/>
      <w:numFmt w:val="bullet"/>
      <w:pStyle w:val="SOFinalBullets"/>
      <w:lvlText w:val=""/>
      <w:lvlJc w:val="left"/>
      <w:pPr>
        <w:tabs>
          <w:tab w:val="num" w:pos="510"/>
        </w:tabs>
        <w:ind w:left="510" w:hanging="170"/>
      </w:pPr>
      <w:rPr>
        <w:rFonts w:ascii="Symbol" w:hAnsi="Symbol" w:hint="default"/>
        <w:color w:val="000000"/>
        <w:sz w:val="16"/>
      </w:rPr>
    </w:lvl>
    <w:lvl w:ilvl="1" w:tplc="0C090003" w:tentative="1">
      <w:start w:val="1"/>
      <w:numFmt w:val="bullet"/>
      <w:lvlText w:val="o"/>
      <w:lvlJc w:val="left"/>
      <w:pPr>
        <w:tabs>
          <w:tab w:val="num" w:pos="1780"/>
        </w:tabs>
        <w:ind w:left="1780" w:hanging="360"/>
      </w:pPr>
      <w:rPr>
        <w:rFonts w:ascii="Courier New" w:hAnsi="Courier New" w:cs="Courier New" w:hint="default"/>
      </w:rPr>
    </w:lvl>
    <w:lvl w:ilvl="2" w:tplc="0C090005" w:tentative="1">
      <w:start w:val="1"/>
      <w:numFmt w:val="bullet"/>
      <w:lvlText w:val=""/>
      <w:lvlJc w:val="left"/>
      <w:pPr>
        <w:tabs>
          <w:tab w:val="num" w:pos="2500"/>
        </w:tabs>
        <w:ind w:left="2500" w:hanging="360"/>
      </w:pPr>
      <w:rPr>
        <w:rFonts w:ascii="Wingdings" w:hAnsi="Wingdings" w:hint="default"/>
      </w:rPr>
    </w:lvl>
    <w:lvl w:ilvl="3" w:tplc="0C090001" w:tentative="1">
      <w:start w:val="1"/>
      <w:numFmt w:val="bullet"/>
      <w:lvlText w:val=""/>
      <w:lvlJc w:val="left"/>
      <w:pPr>
        <w:tabs>
          <w:tab w:val="num" w:pos="3220"/>
        </w:tabs>
        <w:ind w:left="3220" w:hanging="360"/>
      </w:pPr>
      <w:rPr>
        <w:rFonts w:ascii="Symbol" w:hAnsi="Symbol" w:hint="default"/>
      </w:rPr>
    </w:lvl>
    <w:lvl w:ilvl="4" w:tplc="0C090003" w:tentative="1">
      <w:start w:val="1"/>
      <w:numFmt w:val="bullet"/>
      <w:lvlText w:val="o"/>
      <w:lvlJc w:val="left"/>
      <w:pPr>
        <w:tabs>
          <w:tab w:val="num" w:pos="3940"/>
        </w:tabs>
        <w:ind w:left="3940" w:hanging="360"/>
      </w:pPr>
      <w:rPr>
        <w:rFonts w:ascii="Courier New" w:hAnsi="Courier New" w:cs="Courier New" w:hint="default"/>
      </w:rPr>
    </w:lvl>
    <w:lvl w:ilvl="5" w:tplc="0C090005" w:tentative="1">
      <w:start w:val="1"/>
      <w:numFmt w:val="bullet"/>
      <w:lvlText w:val=""/>
      <w:lvlJc w:val="left"/>
      <w:pPr>
        <w:tabs>
          <w:tab w:val="num" w:pos="4660"/>
        </w:tabs>
        <w:ind w:left="4660" w:hanging="360"/>
      </w:pPr>
      <w:rPr>
        <w:rFonts w:ascii="Wingdings" w:hAnsi="Wingdings" w:hint="default"/>
      </w:rPr>
    </w:lvl>
    <w:lvl w:ilvl="6" w:tplc="0C090001" w:tentative="1">
      <w:start w:val="1"/>
      <w:numFmt w:val="bullet"/>
      <w:lvlText w:val=""/>
      <w:lvlJc w:val="left"/>
      <w:pPr>
        <w:tabs>
          <w:tab w:val="num" w:pos="5380"/>
        </w:tabs>
        <w:ind w:left="5380" w:hanging="360"/>
      </w:pPr>
      <w:rPr>
        <w:rFonts w:ascii="Symbol" w:hAnsi="Symbol" w:hint="default"/>
      </w:rPr>
    </w:lvl>
    <w:lvl w:ilvl="7" w:tplc="0C090003" w:tentative="1">
      <w:start w:val="1"/>
      <w:numFmt w:val="bullet"/>
      <w:lvlText w:val="o"/>
      <w:lvlJc w:val="left"/>
      <w:pPr>
        <w:tabs>
          <w:tab w:val="num" w:pos="6100"/>
        </w:tabs>
        <w:ind w:left="6100" w:hanging="360"/>
      </w:pPr>
      <w:rPr>
        <w:rFonts w:ascii="Courier New" w:hAnsi="Courier New" w:cs="Courier New" w:hint="default"/>
      </w:rPr>
    </w:lvl>
    <w:lvl w:ilvl="8" w:tplc="0C090005" w:tentative="1">
      <w:start w:val="1"/>
      <w:numFmt w:val="bullet"/>
      <w:lvlText w:val=""/>
      <w:lvlJc w:val="left"/>
      <w:pPr>
        <w:tabs>
          <w:tab w:val="num" w:pos="6820"/>
        </w:tabs>
        <w:ind w:left="6820" w:hanging="360"/>
      </w:pPr>
      <w:rPr>
        <w:rFonts w:ascii="Wingdings" w:hAnsi="Wingdings" w:hint="default"/>
      </w:rPr>
    </w:lvl>
  </w:abstractNum>
  <w:num w:numId="1">
    <w:abstractNumId w:val="12"/>
  </w:num>
  <w:num w:numId="2">
    <w:abstractNumId w:val="10"/>
  </w:num>
  <w:num w:numId="3">
    <w:abstractNumId w:val="17"/>
  </w:num>
  <w:num w:numId="4">
    <w:abstractNumId w:val="11"/>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4"/>
  </w:num>
  <w:num w:numId="16">
    <w:abstractNumId w:val="13"/>
  </w:num>
  <w:num w:numId="17">
    <w:abstractNumId w:val="15"/>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9CB"/>
    <w:rsid w:val="00002B14"/>
    <w:rsid w:val="00012027"/>
    <w:rsid w:val="00017AC7"/>
    <w:rsid w:val="00033664"/>
    <w:rsid w:val="00037BF7"/>
    <w:rsid w:val="0004325A"/>
    <w:rsid w:val="0005340C"/>
    <w:rsid w:val="00054F9D"/>
    <w:rsid w:val="000604BC"/>
    <w:rsid w:val="0007081C"/>
    <w:rsid w:val="000A3E8F"/>
    <w:rsid w:val="000A77B4"/>
    <w:rsid w:val="000A7E3A"/>
    <w:rsid w:val="000B51DE"/>
    <w:rsid w:val="000C3880"/>
    <w:rsid w:val="000C7C0A"/>
    <w:rsid w:val="000D526B"/>
    <w:rsid w:val="000E2264"/>
    <w:rsid w:val="000E4E6A"/>
    <w:rsid w:val="000F7973"/>
    <w:rsid w:val="0010157A"/>
    <w:rsid w:val="00113786"/>
    <w:rsid w:val="001138EE"/>
    <w:rsid w:val="00116705"/>
    <w:rsid w:val="00134B5A"/>
    <w:rsid w:val="001474AD"/>
    <w:rsid w:val="00160240"/>
    <w:rsid w:val="00165AA5"/>
    <w:rsid w:val="00173C9A"/>
    <w:rsid w:val="001A0F23"/>
    <w:rsid w:val="001A3599"/>
    <w:rsid w:val="001A51FA"/>
    <w:rsid w:val="001B0589"/>
    <w:rsid w:val="001B602D"/>
    <w:rsid w:val="001C65C8"/>
    <w:rsid w:val="001C7099"/>
    <w:rsid w:val="001F3325"/>
    <w:rsid w:val="001F4153"/>
    <w:rsid w:val="002042D6"/>
    <w:rsid w:val="00206E4C"/>
    <w:rsid w:val="0021115D"/>
    <w:rsid w:val="00225FC5"/>
    <w:rsid w:val="00247A2D"/>
    <w:rsid w:val="00250C1B"/>
    <w:rsid w:val="002750E9"/>
    <w:rsid w:val="002948CC"/>
    <w:rsid w:val="00294BA8"/>
    <w:rsid w:val="002A00B7"/>
    <w:rsid w:val="002A21C2"/>
    <w:rsid w:val="002A573E"/>
    <w:rsid w:val="002B4503"/>
    <w:rsid w:val="002B625C"/>
    <w:rsid w:val="002B7043"/>
    <w:rsid w:val="002C5A36"/>
    <w:rsid w:val="002C62D8"/>
    <w:rsid w:val="002F795D"/>
    <w:rsid w:val="003012CB"/>
    <w:rsid w:val="00311B75"/>
    <w:rsid w:val="00312191"/>
    <w:rsid w:val="0034273F"/>
    <w:rsid w:val="00343C83"/>
    <w:rsid w:val="00345276"/>
    <w:rsid w:val="003463FB"/>
    <w:rsid w:val="00355FAC"/>
    <w:rsid w:val="00361D31"/>
    <w:rsid w:val="00364672"/>
    <w:rsid w:val="003671C1"/>
    <w:rsid w:val="00381611"/>
    <w:rsid w:val="00387658"/>
    <w:rsid w:val="003C51CE"/>
    <w:rsid w:val="003C7581"/>
    <w:rsid w:val="003D14DF"/>
    <w:rsid w:val="004161EA"/>
    <w:rsid w:val="00424699"/>
    <w:rsid w:val="00436289"/>
    <w:rsid w:val="004875CD"/>
    <w:rsid w:val="004C6680"/>
    <w:rsid w:val="004D0F80"/>
    <w:rsid w:val="004D2A53"/>
    <w:rsid w:val="004D7C89"/>
    <w:rsid w:val="004E65CD"/>
    <w:rsid w:val="004E77C7"/>
    <w:rsid w:val="004F65FA"/>
    <w:rsid w:val="0052489E"/>
    <w:rsid w:val="00524F7A"/>
    <w:rsid w:val="0053196F"/>
    <w:rsid w:val="00532959"/>
    <w:rsid w:val="00540529"/>
    <w:rsid w:val="00560F4B"/>
    <w:rsid w:val="005658D3"/>
    <w:rsid w:val="00572D51"/>
    <w:rsid w:val="00574A4E"/>
    <w:rsid w:val="00597399"/>
    <w:rsid w:val="005B1FDF"/>
    <w:rsid w:val="005C5D39"/>
    <w:rsid w:val="005D3A05"/>
    <w:rsid w:val="005D713B"/>
    <w:rsid w:val="005F56C1"/>
    <w:rsid w:val="00603E07"/>
    <w:rsid w:val="00603F14"/>
    <w:rsid w:val="006047FB"/>
    <w:rsid w:val="00613FDD"/>
    <w:rsid w:val="006246EA"/>
    <w:rsid w:val="00624EF3"/>
    <w:rsid w:val="00635CFF"/>
    <w:rsid w:val="0066363A"/>
    <w:rsid w:val="00663BA6"/>
    <w:rsid w:val="00664156"/>
    <w:rsid w:val="006829AF"/>
    <w:rsid w:val="00684BC5"/>
    <w:rsid w:val="00687921"/>
    <w:rsid w:val="00694541"/>
    <w:rsid w:val="006951B8"/>
    <w:rsid w:val="00695773"/>
    <w:rsid w:val="006C26C7"/>
    <w:rsid w:val="006C3FEB"/>
    <w:rsid w:val="006D46C9"/>
    <w:rsid w:val="006D663D"/>
    <w:rsid w:val="006E51DA"/>
    <w:rsid w:val="00705D8E"/>
    <w:rsid w:val="007216CC"/>
    <w:rsid w:val="00744570"/>
    <w:rsid w:val="0075556F"/>
    <w:rsid w:val="00757A06"/>
    <w:rsid w:val="00786F30"/>
    <w:rsid w:val="00792429"/>
    <w:rsid w:val="0079634D"/>
    <w:rsid w:val="00796AB0"/>
    <w:rsid w:val="007A5844"/>
    <w:rsid w:val="007C16AD"/>
    <w:rsid w:val="007D6913"/>
    <w:rsid w:val="007E748B"/>
    <w:rsid w:val="0083404B"/>
    <w:rsid w:val="00847D4F"/>
    <w:rsid w:val="00853C3A"/>
    <w:rsid w:val="008610B3"/>
    <w:rsid w:val="00877FFC"/>
    <w:rsid w:val="008D4935"/>
    <w:rsid w:val="008D6093"/>
    <w:rsid w:val="008F5797"/>
    <w:rsid w:val="008F68EB"/>
    <w:rsid w:val="0092310C"/>
    <w:rsid w:val="00931633"/>
    <w:rsid w:val="00951B11"/>
    <w:rsid w:val="009867AC"/>
    <w:rsid w:val="009A196A"/>
    <w:rsid w:val="009A443D"/>
    <w:rsid w:val="009A4917"/>
    <w:rsid w:val="009B44BF"/>
    <w:rsid w:val="009B4B14"/>
    <w:rsid w:val="009B5EE0"/>
    <w:rsid w:val="009B6BC3"/>
    <w:rsid w:val="009C1816"/>
    <w:rsid w:val="009D13AD"/>
    <w:rsid w:val="009D775C"/>
    <w:rsid w:val="009F38B4"/>
    <w:rsid w:val="009F4384"/>
    <w:rsid w:val="009F55BC"/>
    <w:rsid w:val="009F78D3"/>
    <w:rsid w:val="00A53EB2"/>
    <w:rsid w:val="00A66E5D"/>
    <w:rsid w:val="00A74970"/>
    <w:rsid w:val="00A956BA"/>
    <w:rsid w:val="00AB067B"/>
    <w:rsid w:val="00AB1BDE"/>
    <w:rsid w:val="00AB5993"/>
    <w:rsid w:val="00AB63FF"/>
    <w:rsid w:val="00AD389A"/>
    <w:rsid w:val="00AF1476"/>
    <w:rsid w:val="00B1461F"/>
    <w:rsid w:val="00B23282"/>
    <w:rsid w:val="00B37AB5"/>
    <w:rsid w:val="00B55E8B"/>
    <w:rsid w:val="00B7041D"/>
    <w:rsid w:val="00B84096"/>
    <w:rsid w:val="00B87785"/>
    <w:rsid w:val="00BA47C5"/>
    <w:rsid w:val="00BB2EAE"/>
    <w:rsid w:val="00BB640B"/>
    <w:rsid w:val="00BD3F62"/>
    <w:rsid w:val="00BE160E"/>
    <w:rsid w:val="00BF497A"/>
    <w:rsid w:val="00C02A6F"/>
    <w:rsid w:val="00C252BC"/>
    <w:rsid w:val="00C32DD3"/>
    <w:rsid w:val="00C36140"/>
    <w:rsid w:val="00C46401"/>
    <w:rsid w:val="00C61173"/>
    <w:rsid w:val="00C86F95"/>
    <w:rsid w:val="00C87071"/>
    <w:rsid w:val="00C878D2"/>
    <w:rsid w:val="00C94D01"/>
    <w:rsid w:val="00CA1D18"/>
    <w:rsid w:val="00CC03DA"/>
    <w:rsid w:val="00CD32DE"/>
    <w:rsid w:val="00CD6252"/>
    <w:rsid w:val="00D108CB"/>
    <w:rsid w:val="00D27BE6"/>
    <w:rsid w:val="00D46DD5"/>
    <w:rsid w:val="00D668DB"/>
    <w:rsid w:val="00D81147"/>
    <w:rsid w:val="00DA62AE"/>
    <w:rsid w:val="00DB0401"/>
    <w:rsid w:val="00DB5AF3"/>
    <w:rsid w:val="00DB6E71"/>
    <w:rsid w:val="00DC33C1"/>
    <w:rsid w:val="00DC7C11"/>
    <w:rsid w:val="00DD19CB"/>
    <w:rsid w:val="00DD4CB1"/>
    <w:rsid w:val="00DD7C09"/>
    <w:rsid w:val="00DE2755"/>
    <w:rsid w:val="00DF2E21"/>
    <w:rsid w:val="00DF42D8"/>
    <w:rsid w:val="00E253E3"/>
    <w:rsid w:val="00E37EE7"/>
    <w:rsid w:val="00E4274D"/>
    <w:rsid w:val="00E527D5"/>
    <w:rsid w:val="00E55E7F"/>
    <w:rsid w:val="00E57FFA"/>
    <w:rsid w:val="00E76CCB"/>
    <w:rsid w:val="00E87E9A"/>
    <w:rsid w:val="00EA125F"/>
    <w:rsid w:val="00EB12C8"/>
    <w:rsid w:val="00EF31AB"/>
    <w:rsid w:val="00EF3901"/>
    <w:rsid w:val="00F02D47"/>
    <w:rsid w:val="00F50F4D"/>
    <w:rsid w:val="00F539A4"/>
    <w:rsid w:val="00F5454B"/>
    <w:rsid w:val="00F802C4"/>
    <w:rsid w:val="00FA5691"/>
    <w:rsid w:val="00FC7F1D"/>
    <w:rsid w:val="00FF50C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qFormat/>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qFormat/>
    <w:rsid w:val="006E51DA"/>
    <w:pPr>
      <w:keepNext/>
      <w:spacing w:before="480"/>
      <w:outlineLvl w:val="1"/>
    </w:pPr>
    <w:rPr>
      <w:rFonts w:ascii="Arial Bold" w:hAnsi="Arial Bold"/>
      <w:b/>
      <w:sz w:val="28"/>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qFormat/>
    <w:pPr>
      <w:ind w:left="567" w:right="567"/>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SOFinalCoverHeading1">
    <w:name w:val="SO Final Cover Heading 1"/>
    <w:rsid w:val="00597399"/>
    <w:pPr>
      <w:spacing w:before="460" w:after="120"/>
      <w:ind w:left="2381"/>
    </w:pPr>
    <w:rPr>
      <w:rFonts w:ascii="Century Gothic" w:hAnsi="Century Gothic"/>
      <w:b/>
      <w:bCs/>
      <w:spacing w:val="2"/>
      <w:sz w:val="36"/>
      <w:lang w:eastAsia="en-US"/>
    </w:rPr>
  </w:style>
  <w:style w:type="paragraph" w:customStyle="1" w:styleId="SOFinalCoverHeading2">
    <w:name w:val="SO Final Cover Heading 2"/>
    <w:rsid w:val="00597399"/>
    <w:pPr>
      <w:spacing w:before="240"/>
      <w:ind w:left="2381"/>
    </w:pPr>
    <w:rPr>
      <w:rFonts w:ascii="Century Gothic" w:hAnsi="Century Gothic"/>
      <w:spacing w:val="2"/>
      <w:sz w:val="28"/>
      <w:lang w:eastAsia="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SOFinalCoverHeading1"/>
    <w:qFormat/>
    <w:rsid w:val="009F4384"/>
    <w:pPr>
      <w:spacing w:before="2400"/>
    </w:pPr>
    <w:rPr>
      <w:rFonts w:eastAsia="SimSun"/>
    </w:rPr>
  </w:style>
  <w:style w:type="paragraph" w:customStyle="1" w:styleId="FrontPageSub-heading">
    <w:name w:val="Front Page Sub-heading"/>
    <w:basedOn w:val="SOFinalCoverHeading2"/>
    <w:qFormat/>
    <w:rsid w:val="009F4384"/>
    <w:pPr>
      <w:spacing w:before="600"/>
    </w:pPr>
    <w:rPr>
      <w:rFonts w:eastAsia="SimSun"/>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tabs>
        <w:tab w:val="clear" w:pos="720"/>
        <w:tab w:val="num" w:pos="360"/>
      </w:tabs>
      <w:ind w:left="360"/>
    </w:pPr>
    <w:rPr>
      <w:rFonts w:ascii="Arial" w:hAnsi="Arial" w:cs="Arial"/>
      <w:szCs w:val="22"/>
    </w:rPr>
  </w:style>
  <w:style w:type="paragraph" w:customStyle="1" w:styleId="Head2">
    <w:name w:val="Head2"/>
    <w:basedOn w:val="Heading2"/>
    <w:qFormat/>
    <w:rsid w:val="000B51DE"/>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character" w:customStyle="1" w:styleId="HeaderChar">
    <w:name w:val="Header Char"/>
    <w:basedOn w:val="DefaultParagraphFont"/>
    <w:link w:val="Header"/>
    <w:rsid w:val="001A0F23"/>
    <w:rPr>
      <w:sz w:val="22"/>
      <w:lang w:eastAsia="en-US"/>
    </w:rPr>
  </w:style>
  <w:style w:type="character" w:customStyle="1" w:styleId="FooterChar">
    <w:name w:val="Footer Char"/>
    <w:basedOn w:val="DefaultParagraphFont"/>
    <w:link w:val="Footer"/>
    <w:rsid w:val="001A0F23"/>
    <w:rPr>
      <w:sz w:val="22"/>
      <w:lang w:eastAsia="en-US"/>
    </w:rPr>
  </w:style>
  <w:style w:type="paragraph" w:customStyle="1" w:styleId="StyleHeading1HeadingABefore12pt">
    <w:name w:val="Style Heading 1Heading A + Before:  12 pt"/>
    <w:basedOn w:val="Heading1"/>
    <w:rsid w:val="00B1461F"/>
    <w:pPr>
      <w:spacing w:before="240"/>
    </w:pPr>
  </w:style>
  <w:style w:type="paragraph" w:customStyle="1" w:styleId="Topicheading">
    <w:name w:val="Topicheading"/>
    <w:basedOn w:val="BodyText1"/>
    <w:qFormat/>
    <w:rsid w:val="00206E4C"/>
    <w:rPr>
      <w:b/>
    </w:rPr>
  </w:style>
  <w:style w:type="paragraph" w:customStyle="1" w:styleId="italicsheading">
    <w:name w:val="italicsheading"/>
    <w:basedOn w:val="BodyText1"/>
    <w:qFormat/>
    <w:rsid w:val="00206E4C"/>
    <w:rPr>
      <w:i/>
      <w:iCs/>
    </w:rPr>
  </w:style>
  <w:style w:type="paragraph" w:styleId="ListParagraph">
    <w:name w:val="List Paragraph"/>
    <w:basedOn w:val="Normal"/>
    <w:uiPriority w:val="34"/>
    <w:qFormat/>
    <w:rsid w:val="002A573E"/>
    <w:pPr>
      <w:ind w:left="720"/>
      <w:contextualSpacing/>
    </w:pPr>
    <w:rPr>
      <w:rFonts w:asciiTheme="minorHAnsi" w:eastAsiaTheme="minorEastAsia" w:hAnsiTheme="minorHAnsi" w:cstheme="minorBidi"/>
      <w:sz w:val="24"/>
      <w:szCs w:val="24"/>
      <w:lang w:val="en-US"/>
    </w:rPr>
  </w:style>
  <w:style w:type="paragraph" w:customStyle="1" w:styleId="SOFinalBullets">
    <w:name w:val="SO Final Bullets"/>
    <w:link w:val="SOFinalBulletsCharChar"/>
    <w:autoRedefine/>
    <w:rsid w:val="002A573E"/>
    <w:pPr>
      <w:numPr>
        <w:numId w:val="18"/>
      </w:numPr>
      <w:spacing w:before="60"/>
    </w:pPr>
    <w:rPr>
      <w:rFonts w:ascii="Arial" w:eastAsia="MS Mincho" w:hAnsi="Arial" w:cs="Arial"/>
      <w:color w:val="000000"/>
      <w:szCs w:val="24"/>
      <w:lang w:val="en-US" w:eastAsia="en-US"/>
    </w:rPr>
  </w:style>
  <w:style w:type="character" w:customStyle="1" w:styleId="SOFinalBulletsCharChar">
    <w:name w:val="SO Final Bullets Char Char"/>
    <w:link w:val="SOFinalBullets"/>
    <w:rsid w:val="002A573E"/>
    <w:rPr>
      <w:rFonts w:ascii="Arial" w:eastAsia="MS Mincho" w:hAnsi="Arial" w:cs="Arial"/>
      <w:color w:val="000000"/>
      <w:szCs w:val="24"/>
      <w:lang w:val="en-US" w:eastAsia="en-US"/>
    </w:rPr>
  </w:style>
  <w:style w:type="paragraph" w:customStyle="1" w:styleId="SOFinalBodyTextExtraSpace-AssTypeONLY">
    <w:name w:val="SO Final Body Text (Extra Space-Ass Type ONLY)"/>
    <w:basedOn w:val="Normal"/>
    <w:link w:val="SOFinalBodyTextExtraSpace-AssTypeONLYChar"/>
    <w:rsid w:val="007A5844"/>
    <w:pPr>
      <w:spacing w:before="240"/>
    </w:pPr>
    <w:rPr>
      <w:rFonts w:ascii="Arial" w:hAnsi="Arial"/>
      <w:color w:val="000000"/>
      <w:sz w:val="20"/>
      <w:szCs w:val="24"/>
      <w:lang w:val="en-US"/>
    </w:rPr>
  </w:style>
  <w:style w:type="character" w:customStyle="1" w:styleId="SOFinalBodyTextExtraSpace-AssTypeONLYChar">
    <w:name w:val="SO Final Body Text (Extra Space-Ass Type ONLY) Char"/>
    <w:link w:val="SOFinalBodyTextExtraSpace-AssTypeONLY"/>
    <w:rsid w:val="007A5844"/>
    <w:rPr>
      <w:rFonts w:ascii="Arial" w:hAnsi="Arial"/>
      <w:color w:val="000000"/>
      <w:szCs w:val="24"/>
      <w:lang w:val="en-US" w:eastAsia="en-US"/>
    </w:rPr>
  </w:style>
  <w:style w:type="character" w:styleId="Hyperlink">
    <w:name w:val="Hyperlink"/>
    <w:basedOn w:val="DefaultParagraphFont"/>
    <w:rsid w:val="000604BC"/>
    <w:rPr>
      <w:color w:val="0000FF" w:themeColor="hyperlink"/>
      <w:u w:val="single"/>
    </w:rPr>
  </w:style>
  <w:style w:type="character" w:styleId="FollowedHyperlink">
    <w:name w:val="FollowedHyperlink"/>
    <w:basedOn w:val="DefaultParagraphFont"/>
    <w:rsid w:val="00FC7F1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qFormat/>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qFormat/>
    <w:rsid w:val="006E51DA"/>
    <w:pPr>
      <w:keepNext/>
      <w:spacing w:before="480"/>
      <w:outlineLvl w:val="1"/>
    </w:pPr>
    <w:rPr>
      <w:rFonts w:ascii="Arial Bold" w:hAnsi="Arial Bold"/>
      <w:b/>
      <w:sz w:val="28"/>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qFormat/>
    <w:pPr>
      <w:ind w:left="567" w:right="567"/>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SOFinalCoverHeading1">
    <w:name w:val="SO Final Cover Heading 1"/>
    <w:rsid w:val="00597399"/>
    <w:pPr>
      <w:spacing w:before="460" w:after="120"/>
      <w:ind w:left="2381"/>
    </w:pPr>
    <w:rPr>
      <w:rFonts w:ascii="Century Gothic" w:hAnsi="Century Gothic"/>
      <w:b/>
      <w:bCs/>
      <w:spacing w:val="2"/>
      <w:sz w:val="36"/>
      <w:lang w:eastAsia="en-US"/>
    </w:rPr>
  </w:style>
  <w:style w:type="paragraph" w:customStyle="1" w:styleId="SOFinalCoverHeading2">
    <w:name w:val="SO Final Cover Heading 2"/>
    <w:rsid w:val="00597399"/>
    <w:pPr>
      <w:spacing w:before="240"/>
      <w:ind w:left="2381"/>
    </w:pPr>
    <w:rPr>
      <w:rFonts w:ascii="Century Gothic" w:hAnsi="Century Gothic"/>
      <w:spacing w:val="2"/>
      <w:sz w:val="28"/>
      <w:lang w:eastAsia="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SOFinalCoverHeading1"/>
    <w:qFormat/>
    <w:rsid w:val="009F4384"/>
    <w:pPr>
      <w:spacing w:before="2400"/>
    </w:pPr>
    <w:rPr>
      <w:rFonts w:eastAsia="SimSun"/>
    </w:rPr>
  </w:style>
  <w:style w:type="paragraph" w:customStyle="1" w:styleId="FrontPageSub-heading">
    <w:name w:val="Front Page Sub-heading"/>
    <w:basedOn w:val="SOFinalCoverHeading2"/>
    <w:qFormat/>
    <w:rsid w:val="009F4384"/>
    <w:pPr>
      <w:spacing w:before="600"/>
    </w:pPr>
    <w:rPr>
      <w:rFonts w:eastAsia="SimSun"/>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tabs>
        <w:tab w:val="clear" w:pos="720"/>
        <w:tab w:val="num" w:pos="360"/>
      </w:tabs>
      <w:ind w:left="360"/>
    </w:pPr>
    <w:rPr>
      <w:rFonts w:ascii="Arial" w:hAnsi="Arial" w:cs="Arial"/>
      <w:szCs w:val="22"/>
    </w:rPr>
  </w:style>
  <w:style w:type="paragraph" w:customStyle="1" w:styleId="Head2">
    <w:name w:val="Head2"/>
    <w:basedOn w:val="Heading2"/>
    <w:qFormat/>
    <w:rsid w:val="000B51DE"/>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character" w:customStyle="1" w:styleId="HeaderChar">
    <w:name w:val="Header Char"/>
    <w:basedOn w:val="DefaultParagraphFont"/>
    <w:link w:val="Header"/>
    <w:rsid w:val="001A0F23"/>
    <w:rPr>
      <w:sz w:val="22"/>
      <w:lang w:eastAsia="en-US"/>
    </w:rPr>
  </w:style>
  <w:style w:type="character" w:customStyle="1" w:styleId="FooterChar">
    <w:name w:val="Footer Char"/>
    <w:basedOn w:val="DefaultParagraphFont"/>
    <w:link w:val="Footer"/>
    <w:rsid w:val="001A0F23"/>
    <w:rPr>
      <w:sz w:val="22"/>
      <w:lang w:eastAsia="en-US"/>
    </w:rPr>
  </w:style>
  <w:style w:type="paragraph" w:customStyle="1" w:styleId="StyleHeading1HeadingABefore12pt">
    <w:name w:val="Style Heading 1Heading A + Before:  12 pt"/>
    <w:basedOn w:val="Heading1"/>
    <w:rsid w:val="00B1461F"/>
    <w:pPr>
      <w:spacing w:before="240"/>
    </w:pPr>
  </w:style>
  <w:style w:type="paragraph" w:customStyle="1" w:styleId="Topicheading">
    <w:name w:val="Topicheading"/>
    <w:basedOn w:val="BodyText1"/>
    <w:qFormat/>
    <w:rsid w:val="00206E4C"/>
    <w:rPr>
      <w:b/>
    </w:rPr>
  </w:style>
  <w:style w:type="paragraph" w:customStyle="1" w:styleId="italicsheading">
    <w:name w:val="italicsheading"/>
    <w:basedOn w:val="BodyText1"/>
    <w:qFormat/>
    <w:rsid w:val="00206E4C"/>
    <w:rPr>
      <w:i/>
      <w:iCs/>
    </w:rPr>
  </w:style>
  <w:style w:type="paragraph" w:styleId="ListParagraph">
    <w:name w:val="List Paragraph"/>
    <w:basedOn w:val="Normal"/>
    <w:uiPriority w:val="34"/>
    <w:qFormat/>
    <w:rsid w:val="002A573E"/>
    <w:pPr>
      <w:ind w:left="720"/>
      <w:contextualSpacing/>
    </w:pPr>
    <w:rPr>
      <w:rFonts w:asciiTheme="minorHAnsi" w:eastAsiaTheme="minorEastAsia" w:hAnsiTheme="minorHAnsi" w:cstheme="minorBidi"/>
      <w:sz w:val="24"/>
      <w:szCs w:val="24"/>
      <w:lang w:val="en-US"/>
    </w:rPr>
  </w:style>
  <w:style w:type="paragraph" w:customStyle="1" w:styleId="SOFinalBullets">
    <w:name w:val="SO Final Bullets"/>
    <w:link w:val="SOFinalBulletsCharChar"/>
    <w:autoRedefine/>
    <w:rsid w:val="002A573E"/>
    <w:pPr>
      <w:numPr>
        <w:numId w:val="18"/>
      </w:numPr>
      <w:spacing w:before="60"/>
    </w:pPr>
    <w:rPr>
      <w:rFonts w:ascii="Arial" w:eastAsia="MS Mincho" w:hAnsi="Arial" w:cs="Arial"/>
      <w:color w:val="000000"/>
      <w:szCs w:val="24"/>
      <w:lang w:val="en-US" w:eastAsia="en-US"/>
    </w:rPr>
  </w:style>
  <w:style w:type="character" w:customStyle="1" w:styleId="SOFinalBulletsCharChar">
    <w:name w:val="SO Final Bullets Char Char"/>
    <w:link w:val="SOFinalBullets"/>
    <w:rsid w:val="002A573E"/>
    <w:rPr>
      <w:rFonts w:ascii="Arial" w:eastAsia="MS Mincho" w:hAnsi="Arial" w:cs="Arial"/>
      <w:color w:val="000000"/>
      <w:szCs w:val="24"/>
      <w:lang w:val="en-US" w:eastAsia="en-US"/>
    </w:rPr>
  </w:style>
  <w:style w:type="paragraph" w:customStyle="1" w:styleId="SOFinalBodyTextExtraSpace-AssTypeONLY">
    <w:name w:val="SO Final Body Text (Extra Space-Ass Type ONLY)"/>
    <w:basedOn w:val="Normal"/>
    <w:link w:val="SOFinalBodyTextExtraSpace-AssTypeONLYChar"/>
    <w:rsid w:val="007A5844"/>
    <w:pPr>
      <w:spacing w:before="240"/>
    </w:pPr>
    <w:rPr>
      <w:rFonts w:ascii="Arial" w:hAnsi="Arial"/>
      <w:color w:val="000000"/>
      <w:sz w:val="20"/>
      <w:szCs w:val="24"/>
      <w:lang w:val="en-US"/>
    </w:rPr>
  </w:style>
  <w:style w:type="character" w:customStyle="1" w:styleId="SOFinalBodyTextExtraSpace-AssTypeONLYChar">
    <w:name w:val="SO Final Body Text (Extra Space-Ass Type ONLY) Char"/>
    <w:link w:val="SOFinalBodyTextExtraSpace-AssTypeONLY"/>
    <w:rsid w:val="007A5844"/>
    <w:rPr>
      <w:rFonts w:ascii="Arial" w:hAnsi="Arial"/>
      <w:color w:val="000000"/>
      <w:szCs w:val="24"/>
      <w:lang w:val="en-US" w:eastAsia="en-US"/>
    </w:rPr>
  </w:style>
  <w:style w:type="character" w:styleId="Hyperlink">
    <w:name w:val="Hyperlink"/>
    <w:basedOn w:val="DefaultParagraphFont"/>
    <w:rsid w:val="000604BC"/>
    <w:rPr>
      <w:color w:val="0000FF" w:themeColor="hyperlink"/>
      <w:u w:val="single"/>
    </w:rPr>
  </w:style>
  <w:style w:type="character" w:styleId="FollowedHyperlink">
    <w:name w:val="FollowedHyperlink"/>
    <w:basedOn w:val="DefaultParagraphFont"/>
    <w:rsid w:val="00FC7F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773963">
      <w:bodyDiv w:val="1"/>
      <w:marLeft w:val="0"/>
      <w:marRight w:val="0"/>
      <w:marTop w:val="0"/>
      <w:marBottom w:val="0"/>
      <w:divBdr>
        <w:top w:val="none" w:sz="0" w:space="0" w:color="auto"/>
        <w:left w:val="none" w:sz="0" w:space="0" w:color="auto"/>
        <w:bottom w:val="none" w:sz="0" w:space="0" w:color="auto"/>
        <w:right w:val="none" w:sz="0" w:space="0" w:color="auto"/>
      </w:divBdr>
      <w:divsChild>
        <w:div w:id="15162455">
          <w:marLeft w:val="0"/>
          <w:marRight w:val="0"/>
          <w:marTop w:val="0"/>
          <w:marBottom w:val="0"/>
          <w:divBdr>
            <w:top w:val="none" w:sz="0" w:space="0" w:color="auto"/>
            <w:left w:val="none" w:sz="0" w:space="0" w:color="auto"/>
            <w:bottom w:val="none" w:sz="0" w:space="0" w:color="auto"/>
            <w:right w:val="none" w:sz="0" w:space="0" w:color="auto"/>
          </w:divBdr>
        </w:div>
        <w:div w:id="20513588">
          <w:marLeft w:val="0"/>
          <w:marRight w:val="0"/>
          <w:marTop w:val="0"/>
          <w:marBottom w:val="0"/>
          <w:divBdr>
            <w:top w:val="none" w:sz="0" w:space="0" w:color="auto"/>
            <w:left w:val="none" w:sz="0" w:space="0" w:color="auto"/>
            <w:bottom w:val="none" w:sz="0" w:space="0" w:color="auto"/>
            <w:right w:val="none" w:sz="0" w:space="0" w:color="auto"/>
          </w:divBdr>
        </w:div>
        <w:div w:id="83886181">
          <w:marLeft w:val="0"/>
          <w:marRight w:val="0"/>
          <w:marTop w:val="0"/>
          <w:marBottom w:val="0"/>
          <w:divBdr>
            <w:top w:val="none" w:sz="0" w:space="0" w:color="auto"/>
            <w:left w:val="none" w:sz="0" w:space="0" w:color="auto"/>
            <w:bottom w:val="none" w:sz="0" w:space="0" w:color="auto"/>
            <w:right w:val="none" w:sz="0" w:space="0" w:color="auto"/>
          </w:divBdr>
        </w:div>
        <w:div w:id="238641776">
          <w:marLeft w:val="0"/>
          <w:marRight w:val="0"/>
          <w:marTop w:val="0"/>
          <w:marBottom w:val="0"/>
          <w:divBdr>
            <w:top w:val="none" w:sz="0" w:space="0" w:color="auto"/>
            <w:left w:val="none" w:sz="0" w:space="0" w:color="auto"/>
            <w:bottom w:val="none" w:sz="0" w:space="0" w:color="auto"/>
            <w:right w:val="none" w:sz="0" w:space="0" w:color="auto"/>
          </w:divBdr>
        </w:div>
        <w:div w:id="399443423">
          <w:marLeft w:val="0"/>
          <w:marRight w:val="0"/>
          <w:marTop w:val="0"/>
          <w:marBottom w:val="0"/>
          <w:divBdr>
            <w:top w:val="none" w:sz="0" w:space="0" w:color="auto"/>
            <w:left w:val="none" w:sz="0" w:space="0" w:color="auto"/>
            <w:bottom w:val="none" w:sz="0" w:space="0" w:color="auto"/>
            <w:right w:val="none" w:sz="0" w:space="0" w:color="auto"/>
          </w:divBdr>
        </w:div>
        <w:div w:id="424765203">
          <w:marLeft w:val="0"/>
          <w:marRight w:val="0"/>
          <w:marTop w:val="0"/>
          <w:marBottom w:val="0"/>
          <w:divBdr>
            <w:top w:val="none" w:sz="0" w:space="0" w:color="auto"/>
            <w:left w:val="none" w:sz="0" w:space="0" w:color="auto"/>
            <w:bottom w:val="none" w:sz="0" w:space="0" w:color="auto"/>
            <w:right w:val="none" w:sz="0" w:space="0" w:color="auto"/>
          </w:divBdr>
        </w:div>
        <w:div w:id="551888866">
          <w:marLeft w:val="0"/>
          <w:marRight w:val="0"/>
          <w:marTop w:val="0"/>
          <w:marBottom w:val="0"/>
          <w:divBdr>
            <w:top w:val="none" w:sz="0" w:space="0" w:color="auto"/>
            <w:left w:val="none" w:sz="0" w:space="0" w:color="auto"/>
            <w:bottom w:val="none" w:sz="0" w:space="0" w:color="auto"/>
            <w:right w:val="none" w:sz="0" w:space="0" w:color="auto"/>
          </w:divBdr>
        </w:div>
        <w:div w:id="563180161">
          <w:marLeft w:val="0"/>
          <w:marRight w:val="0"/>
          <w:marTop w:val="0"/>
          <w:marBottom w:val="0"/>
          <w:divBdr>
            <w:top w:val="none" w:sz="0" w:space="0" w:color="auto"/>
            <w:left w:val="none" w:sz="0" w:space="0" w:color="auto"/>
            <w:bottom w:val="none" w:sz="0" w:space="0" w:color="auto"/>
            <w:right w:val="none" w:sz="0" w:space="0" w:color="auto"/>
          </w:divBdr>
        </w:div>
        <w:div w:id="565262067">
          <w:marLeft w:val="0"/>
          <w:marRight w:val="0"/>
          <w:marTop w:val="0"/>
          <w:marBottom w:val="0"/>
          <w:divBdr>
            <w:top w:val="none" w:sz="0" w:space="0" w:color="auto"/>
            <w:left w:val="none" w:sz="0" w:space="0" w:color="auto"/>
            <w:bottom w:val="none" w:sz="0" w:space="0" w:color="auto"/>
            <w:right w:val="none" w:sz="0" w:space="0" w:color="auto"/>
          </w:divBdr>
        </w:div>
        <w:div w:id="693652549">
          <w:marLeft w:val="0"/>
          <w:marRight w:val="0"/>
          <w:marTop w:val="0"/>
          <w:marBottom w:val="0"/>
          <w:divBdr>
            <w:top w:val="none" w:sz="0" w:space="0" w:color="auto"/>
            <w:left w:val="none" w:sz="0" w:space="0" w:color="auto"/>
            <w:bottom w:val="none" w:sz="0" w:space="0" w:color="auto"/>
            <w:right w:val="none" w:sz="0" w:space="0" w:color="auto"/>
          </w:divBdr>
        </w:div>
        <w:div w:id="731856387">
          <w:marLeft w:val="0"/>
          <w:marRight w:val="0"/>
          <w:marTop w:val="0"/>
          <w:marBottom w:val="0"/>
          <w:divBdr>
            <w:top w:val="none" w:sz="0" w:space="0" w:color="auto"/>
            <w:left w:val="none" w:sz="0" w:space="0" w:color="auto"/>
            <w:bottom w:val="none" w:sz="0" w:space="0" w:color="auto"/>
            <w:right w:val="none" w:sz="0" w:space="0" w:color="auto"/>
          </w:divBdr>
        </w:div>
        <w:div w:id="755831416">
          <w:marLeft w:val="0"/>
          <w:marRight w:val="0"/>
          <w:marTop w:val="0"/>
          <w:marBottom w:val="0"/>
          <w:divBdr>
            <w:top w:val="none" w:sz="0" w:space="0" w:color="auto"/>
            <w:left w:val="none" w:sz="0" w:space="0" w:color="auto"/>
            <w:bottom w:val="none" w:sz="0" w:space="0" w:color="auto"/>
            <w:right w:val="none" w:sz="0" w:space="0" w:color="auto"/>
          </w:divBdr>
        </w:div>
        <w:div w:id="871962441">
          <w:marLeft w:val="0"/>
          <w:marRight w:val="0"/>
          <w:marTop w:val="0"/>
          <w:marBottom w:val="0"/>
          <w:divBdr>
            <w:top w:val="none" w:sz="0" w:space="0" w:color="auto"/>
            <w:left w:val="none" w:sz="0" w:space="0" w:color="auto"/>
            <w:bottom w:val="none" w:sz="0" w:space="0" w:color="auto"/>
            <w:right w:val="none" w:sz="0" w:space="0" w:color="auto"/>
          </w:divBdr>
        </w:div>
        <w:div w:id="953173168">
          <w:marLeft w:val="0"/>
          <w:marRight w:val="0"/>
          <w:marTop w:val="0"/>
          <w:marBottom w:val="0"/>
          <w:divBdr>
            <w:top w:val="none" w:sz="0" w:space="0" w:color="auto"/>
            <w:left w:val="none" w:sz="0" w:space="0" w:color="auto"/>
            <w:bottom w:val="none" w:sz="0" w:space="0" w:color="auto"/>
            <w:right w:val="none" w:sz="0" w:space="0" w:color="auto"/>
          </w:divBdr>
        </w:div>
        <w:div w:id="1142236426">
          <w:marLeft w:val="0"/>
          <w:marRight w:val="0"/>
          <w:marTop w:val="0"/>
          <w:marBottom w:val="0"/>
          <w:divBdr>
            <w:top w:val="none" w:sz="0" w:space="0" w:color="auto"/>
            <w:left w:val="none" w:sz="0" w:space="0" w:color="auto"/>
            <w:bottom w:val="none" w:sz="0" w:space="0" w:color="auto"/>
            <w:right w:val="none" w:sz="0" w:space="0" w:color="auto"/>
          </w:divBdr>
        </w:div>
        <w:div w:id="1292859739">
          <w:marLeft w:val="0"/>
          <w:marRight w:val="0"/>
          <w:marTop w:val="0"/>
          <w:marBottom w:val="0"/>
          <w:divBdr>
            <w:top w:val="none" w:sz="0" w:space="0" w:color="auto"/>
            <w:left w:val="none" w:sz="0" w:space="0" w:color="auto"/>
            <w:bottom w:val="none" w:sz="0" w:space="0" w:color="auto"/>
            <w:right w:val="none" w:sz="0" w:space="0" w:color="auto"/>
          </w:divBdr>
        </w:div>
        <w:div w:id="1381855261">
          <w:marLeft w:val="0"/>
          <w:marRight w:val="0"/>
          <w:marTop w:val="0"/>
          <w:marBottom w:val="0"/>
          <w:divBdr>
            <w:top w:val="none" w:sz="0" w:space="0" w:color="auto"/>
            <w:left w:val="none" w:sz="0" w:space="0" w:color="auto"/>
            <w:bottom w:val="none" w:sz="0" w:space="0" w:color="auto"/>
            <w:right w:val="none" w:sz="0" w:space="0" w:color="auto"/>
          </w:divBdr>
        </w:div>
        <w:div w:id="1442650240">
          <w:marLeft w:val="0"/>
          <w:marRight w:val="0"/>
          <w:marTop w:val="0"/>
          <w:marBottom w:val="0"/>
          <w:divBdr>
            <w:top w:val="none" w:sz="0" w:space="0" w:color="auto"/>
            <w:left w:val="none" w:sz="0" w:space="0" w:color="auto"/>
            <w:bottom w:val="none" w:sz="0" w:space="0" w:color="auto"/>
            <w:right w:val="none" w:sz="0" w:space="0" w:color="auto"/>
          </w:divBdr>
        </w:div>
        <w:div w:id="1510633285">
          <w:marLeft w:val="0"/>
          <w:marRight w:val="0"/>
          <w:marTop w:val="0"/>
          <w:marBottom w:val="0"/>
          <w:divBdr>
            <w:top w:val="none" w:sz="0" w:space="0" w:color="auto"/>
            <w:left w:val="none" w:sz="0" w:space="0" w:color="auto"/>
            <w:bottom w:val="none" w:sz="0" w:space="0" w:color="auto"/>
            <w:right w:val="none" w:sz="0" w:space="0" w:color="auto"/>
          </w:divBdr>
        </w:div>
        <w:div w:id="1546984720">
          <w:marLeft w:val="0"/>
          <w:marRight w:val="0"/>
          <w:marTop w:val="0"/>
          <w:marBottom w:val="0"/>
          <w:divBdr>
            <w:top w:val="none" w:sz="0" w:space="0" w:color="auto"/>
            <w:left w:val="none" w:sz="0" w:space="0" w:color="auto"/>
            <w:bottom w:val="none" w:sz="0" w:space="0" w:color="auto"/>
            <w:right w:val="none" w:sz="0" w:space="0" w:color="auto"/>
          </w:divBdr>
        </w:div>
        <w:div w:id="1570572338">
          <w:marLeft w:val="0"/>
          <w:marRight w:val="0"/>
          <w:marTop w:val="0"/>
          <w:marBottom w:val="0"/>
          <w:divBdr>
            <w:top w:val="none" w:sz="0" w:space="0" w:color="auto"/>
            <w:left w:val="none" w:sz="0" w:space="0" w:color="auto"/>
            <w:bottom w:val="none" w:sz="0" w:space="0" w:color="auto"/>
            <w:right w:val="none" w:sz="0" w:space="0" w:color="auto"/>
          </w:divBdr>
        </w:div>
        <w:div w:id="1676109132">
          <w:marLeft w:val="0"/>
          <w:marRight w:val="0"/>
          <w:marTop w:val="0"/>
          <w:marBottom w:val="0"/>
          <w:divBdr>
            <w:top w:val="none" w:sz="0" w:space="0" w:color="auto"/>
            <w:left w:val="none" w:sz="0" w:space="0" w:color="auto"/>
            <w:bottom w:val="none" w:sz="0" w:space="0" w:color="auto"/>
            <w:right w:val="none" w:sz="0" w:space="0" w:color="auto"/>
          </w:divBdr>
        </w:div>
        <w:div w:id="1688217859">
          <w:marLeft w:val="0"/>
          <w:marRight w:val="0"/>
          <w:marTop w:val="0"/>
          <w:marBottom w:val="0"/>
          <w:divBdr>
            <w:top w:val="none" w:sz="0" w:space="0" w:color="auto"/>
            <w:left w:val="none" w:sz="0" w:space="0" w:color="auto"/>
            <w:bottom w:val="none" w:sz="0" w:space="0" w:color="auto"/>
            <w:right w:val="none" w:sz="0" w:space="0" w:color="auto"/>
          </w:divBdr>
        </w:div>
        <w:div w:id="1846164426">
          <w:marLeft w:val="0"/>
          <w:marRight w:val="0"/>
          <w:marTop w:val="0"/>
          <w:marBottom w:val="0"/>
          <w:divBdr>
            <w:top w:val="none" w:sz="0" w:space="0" w:color="auto"/>
            <w:left w:val="none" w:sz="0" w:space="0" w:color="auto"/>
            <w:bottom w:val="none" w:sz="0" w:space="0" w:color="auto"/>
            <w:right w:val="none" w:sz="0" w:space="0" w:color="auto"/>
          </w:divBdr>
        </w:div>
        <w:div w:id="2053916100">
          <w:marLeft w:val="0"/>
          <w:marRight w:val="0"/>
          <w:marTop w:val="0"/>
          <w:marBottom w:val="0"/>
          <w:divBdr>
            <w:top w:val="none" w:sz="0" w:space="0" w:color="auto"/>
            <w:left w:val="none" w:sz="0" w:space="0" w:color="auto"/>
            <w:bottom w:val="none" w:sz="0" w:space="0" w:color="auto"/>
            <w:right w:val="none" w:sz="0" w:space="0" w:color="auto"/>
          </w:divBdr>
        </w:div>
        <w:div w:id="2139176438">
          <w:marLeft w:val="0"/>
          <w:marRight w:val="0"/>
          <w:marTop w:val="0"/>
          <w:marBottom w:val="0"/>
          <w:divBdr>
            <w:top w:val="none" w:sz="0" w:space="0" w:color="auto"/>
            <w:left w:val="none" w:sz="0" w:space="0" w:color="auto"/>
            <w:bottom w:val="none" w:sz="0" w:space="0" w:color="auto"/>
            <w:right w:val="none" w:sz="0" w:space="0" w:color="auto"/>
          </w:divBdr>
        </w:div>
        <w:div w:id="2139251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ace.sa.edu.au/web/workplace-practices/stage-2/for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sace.sa.edu.au/web/workplace-practices/stage-2/assessment/school-assessment/advice-on-preparing-materia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enc\Application%20Data\Microsoft\Templates\Assessment%20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A50E9875-FC8B-4704-944A-3913F4FEA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Reports.dot</Template>
  <TotalTime>1020</TotalTime>
  <Pages>9</Pages>
  <Words>3406</Words>
  <Characters>19416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Subject name</vt:lpstr>
    </vt:vector>
  </TitlesOfParts>
  <Company>Infoquest</Company>
  <LinksUpToDate>false</LinksUpToDate>
  <CharactersWithSpaces>22777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name</dc:title>
  <dc:subject/>
  <dc:creator>karenc</dc:creator>
  <cp:keywords/>
  <dc:description/>
  <cp:lastModifiedBy> </cp:lastModifiedBy>
  <cp:revision>21</cp:revision>
  <cp:lastPrinted>2015-02-23T05:00:00Z</cp:lastPrinted>
  <dcterms:created xsi:type="dcterms:W3CDTF">2014-12-23T02:41:00Z</dcterms:created>
  <dcterms:modified xsi:type="dcterms:W3CDTF">2015-03-02T22:45:00Z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A410031</vt:lpwstr>
  </property>
  <property fmtid="{D5CDD505-2E9C-101B-9397-08002B2CF9AE}" pid="3" name="Objective-Comment">
    <vt:lpwstr/>
  </property>
  <property fmtid="{D5CDD505-2E9C-101B-9397-08002B2CF9AE}" pid="4" name="Objective-CreationStamp">
    <vt:filetime>2014-12-23T04:35:16Z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2015-03-02T22:29:32Z</vt:filetime>
  </property>
  <property fmtid="{D5CDD505-2E9C-101B-9397-08002B2CF9AE}" pid="9" name="Objective-Owner">
    <vt:lpwstr>Karen Collins</vt:lpwstr>
  </property>
  <property fmtid="{D5CDD505-2E9C-101B-9397-08002B2CF9AE}" pid="10" name="Objective-Path">
    <vt:lpwstr>Objective Global Folder:Quality Assurance Cycle:Stage 2 - 4. Improving:Chief Assessors Reports:2014 Chief Assessors Reports:</vt:lpwstr>
  </property>
  <property fmtid="{D5CDD505-2E9C-101B-9397-08002B2CF9AE}" pid="11" name="Objective-Parent">
    <vt:lpwstr>2014 Chief Assessors Reports</vt:lpwstr>
  </property>
  <property fmtid="{D5CDD505-2E9C-101B-9397-08002B2CF9AE}" pid="12" name="Objective-State">
    <vt:lpwstr>Being Edited</vt:lpwstr>
  </property>
  <property fmtid="{D5CDD505-2E9C-101B-9397-08002B2CF9AE}" pid="13" name="Objective-Title">
    <vt:lpwstr>2014 Workplace Practices Chief Assessor's Report</vt:lpwstr>
  </property>
  <property fmtid="{D5CDD505-2E9C-101B-9397-08002B2CF9AE}" pid="14" name="Objective-Version">
    <vt:lpwstr>2.4</vt:lpwstr>
  </property>
  <property fmtid="{D5CDD505-2E9C-101B-9397-08002B2CF9AE}" pid="15" name="Objective-VersionComment">
    <vt:lpwstr/>
  </property>
  <property fmtid="{D5CDD505-2E9C-101B-9397-08002B2CF9AE}" pid="16" name="Objective-VersionNumber">
    <vt:r8>14</vt:r8>
  </property>
  <property fmtid="{D5CDD505-2E9C-101B-9397-08002B2CF9AE}" pid="17" name="Objective-FileNumber">
    <vt:lpwstr>qA13034</vt:lpwstr>
  </property>
  <property fmtid="{D5CDD505-2E9C-101B-9397-08002B2CF9AE}" pid="18" name="Objective-Classification">
    <vt:lpwstr>[Inherited - none]</vt:lpwstr>
  </property>
  <property fmtid="{D5CDD505-2E9C-101B-9397-08002B2CF9AE}" pid="19" name="Objective-Caveats">
    <vt:lpwstr/>
  </property>
</Properties>
</file>