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CB079B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0A3696">
        <w:t xml:space="preserve">Music Studies </w:t>
      </w:r>
      <w:r w:rsidR="00B30663">
        <w:t>Subject Assessment Advice</w:t>
      </w:r>
    </w:p>
    <w:p w14:paraId="012CC6ED" w14:textId="77777777" w:rsidR="00B30663" w:rsidRPr="00B30663" w:rsidRDefault="00B30663" w:rsidP="00B30663">
      <w:pPr>
        <w:pStyle w:val="Heading2NoNumber"/>
      </w:pPr>
      <w:r w:rsidRPr="00B30663">
        <w:t>Overview</w:t>
      </w:r>
    </w:p>
    <w:p w14:paraId="2D10C8CC" w14:textId="77777777" w:rsidR="000A3696" w:rsidRPr="000F6846" w:rsidRDefault="000A3696" w:rsidP="000F6846">
      <w:pPr>
        <w:pStyle w:val="SAABody"/>
      </w:pPr>
      <w:r w:rsidRPr="000F6846">
        <w:t>Subject assessment advice, based on the 2025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77F4125F" w14:textId="77777777" w:rsidR="000A3696" w:rsidRPr="000F6846" w:rsidRDefault="000A3696" w:rsidP="000F6846">
      <w:pPr>
        <w:pStyle w:val="SAABody"/>
      </w:pPr>
      <w:r w:rsidRPr="000F6846">
        <w:t xml:space="preserve">Teachers are also encouraged to utilise the resources provided on the SACE website. This includes the calibration activities provided in PLATO, which is helpful in both providing ideas for designing assessment tasks and in applying the performance standards to the students work. </w:t>
      </w:r>
    </w:p>
    <w:p w14:paraId="6971C5AA" w14:textId="77777777" w:rsidR="000A3696" w:rsidRPr="000F6846" w:rsidRDefault="000A3696" w:rsidP="000F6846">
      <w:pPr>
        <w:pStyle w:val="SAABody"/>
      </w:pPr>
      <w:r w:rsidRPr="000F6846">
        <w:t>The Subject Renewal program is reviewing changes for many subjects in 2026 or future years; these changes are detailed in the change log at the front of each subject outline. When reviewing the 2025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AE2E918" w14:textId="77777777" w:rsidR="000A3696" w:rsidRPr="005F33DB" w:rsidRDefault="000A3696" w:rsidP="000A3696">
      <w:pPr>
        <w:pStyle w:val="SAABullets"/>
      </w:pPr>
      <w:r w:rsidRPr="005F33DB">
        <w:t xml:space="preserve">thoroughly checking that all grades entered in school online are correct </w:t>
      </w:r>
    </w:p>
    <w:p w14:paraId="7E152138" w14:textId="77777777" w:rsidR="000A3696" w:rsidRPr="005F33DB" w:rsidRDefault="000A3696" w:rsidP="000A3696">
      <w:pPr>
        <w:pStyle w:val="SAABullets"/>
      </w:pPr>
      <w:r w:rsidRPr="005F33DB">
        <w:t xml:space="preserve">ensuring that students are clearly </w:t>
      </w:r>
      <w:r>
        <w:t xml:space="preserve">visible and </w:t>
      </w:r>
      <w:r w:rsidRPr="005F33DB">
        <w:t>identified at the start of videos of ensemble performances and that part-testing is included in the evidence provided for ensemble performance students</w:t>
      </w:r>
    </w:p>
    <w:p w14:paraId="0BA869F1" w14:textId="77777777" w:rsidR="000A3696" w:rsidRPr="005F33DB" w:rsidRDefault="000A3696" w:rsidP="000A3696">
      <w:pPr>
        <w:pStyle w:val="SAABullets"/>
      </w:pPr>
      <w:r w:rsidRPr="005F33DB">
        <w:t xml:space="preserve">providing pdf copies of the </w:t>
      </w:r>
      <w:r>
        <w:t xml:space="preserve">scores or </w:t>
      </w:r>
      <w:r w:rsidRPr="005F33DB">
        <w:t>sheet music used by the students for both solo and ensemble performances</w:t>
      </w:r>
    </w:p>
    <w:p w14:paraId="56F4FB1F" w14:textId="77777777" w:rsidR="000A3696" w:rsidRPr="005F33DB" w:rsidRDefault="000A3696" w:rsidP="000A3696">
      <w:pPr>
        <w:pStyle w:val="SAABullets"/>
      </w:pPr>
      <w:r w:rsidRPr="005F33DB">
        <w:t>providing audio (in mp3 format) along with scores for both student arrangements and compositions</w:t>
      </w:r>
    </w:p>
    <w:p w14:paraId="0F52B36D" w14:textId="77777777" w:rsidR="000A3696" w:rsidRPr="005F33DB" w:rsidRDefault="000A3696" w:rsidP="000A3696">
      <w:pPr>
        <w:pStyle w:val="SAABullets"/>
      </w:pPr>
      <w:r w:rsidRPr="005F33DB">
        <w:t xml:space="preserve">indicating which LAP applies to which group of students where two or more schools are grouped </w:t>
      </w:r>
    </w:p>
    <w:p w14:paraId="72BA03EF" w14:textId="77777777" w:rsidR="000A3696" w:rsidRPr="005F33DB" w:rsidRDefault="000A3696" w:rsidP="000A3696">
      <w:pPr>
        <w:pStyle w:val="SAABullets"/>
      </w:pPr>
      <w:r w:rsidRPr="005F33DB">
        <w:t>submitting the source material for arrangements</w:t>
      </w:r>
      <w:r>
        <w:t xml:space="preserve"> (this is not a requirement but is</w:t>
      </w:r>
      <w:r w:rsidRPr="005F33DB">
        <w:t xml:space="preserve"> useful to ascertain the arranging skills and knowledge of each student</w:t>
      </w:r>
      <w:r>
        <w:t>)</w:t>
      </w:r>
      <w:r w:rsidRPr="005F33DB">
        <w:t>.</w:t>
      </w:r>
    </w:p>
    <w:p w14:paraId="5A086148" w14:textId="2EE08422" w:rsidR="00B30663" w:rsidRPr="00B30663" w:rsidRDefault="00B30663" w:rsidP="00B30663">
      <w:pPr>
        <w:pStyle w:val="Heading2NoNumber"/>
      </w:pPr>
      <w:r w:rsidRPr="00B30663">
        <w:t xml:space="preserve">Assessment Type 1: </w:t>
      </w:r>
      <w:r w:rsidR="000A3696">
        <w:t>Creative Works (40%)</w:t>
      </w:r>
    </w:p>
    <w:p w14:paraId="78F3C4DC" w14:textId="77777777" w:rsidR="000A3696" w:rsidRDefault="000A3696" w:rsidP="000F6846">
      <w:pPr>
        <w:pStyle w:val="SAABody"/>
        <w:rPr>
          <w:lang w:eastAsia="en-AU"/>
        </w:rPr>
      </w:pPr>
      <w:r w:rsidRPr="007963BD">
        <w:rPr>
          <w:lang w:eastAsia="en-AU"/>
        </w:rPr>
        <w:t>Students present a portfolio consisting of</w:t>
      </w:r>
      <w:r>
        <w:rPr>
          <w:lang w:eastAsia="en-AU"/>
        </w:rPr>
        <w:t xml:space="preserve"> </w:t>
      </w:r>
      <w:r w:rsidRPr="007963BD">
        <w:rPr>
          <w:lang w:eastAsia="en-AU"/>
        </w:rPr>
        <w:t>their own creative works, which may be a performance or performances, a composition or compositions, or an arrangement or arrangements</w:t>
      </w:r>
      <w:r>
        <w:rPr>
          <w:lang w:eastAsia="en-AU"/>
        </w:rPr>
        <w:t xml:space="preserve"> and </w:t>
      </w:r>
      <w:r w:rsidRPr="007963BD">
        <w:rPr>
          <w:lang w:eastAsia="en-AU"/>
        </w:rPr>
        <w:t>a creator’s statement in which they reflect on their creative works.</w:t>
      </w:r>
      <w:r>
        <w:rPr>
          <w:lang w:eastAsia="en-AU"/>
        </w:rPr>
        <w:t xml:space="preserve"> </w:t>
      </w:r>
      <w:r w:rsidRPr="007963BD">
        <w:rPr>
          <w:lang w:eastAsia="en-AU"/>
        </w:rPr>
        <w:t>Students apply their musical understanding, skills, and techniques to develop, refine, and present their works.</w:t>
      </w:r>
      <w:r>
        <w:rPr>
          <w:lang w:eastAsia="en-AU"/>
        </w:rPr>
        <w:t xml:space="preserve"> </w:t>
      </w:r>
      <w:r w:rsidRPr="007963BD">
        <w:rPr>
          <w:lang w:eastAsia="en-AU"/>
        </w:rPr>
        <w:t>The creative work or works may be in a single style or in a variety of styles.</w:t>
      </w:r>
      <w:r>
        <w:rPr>
          <w:lang w:eastAsia="en-AU"/>
        </w:rPr>
        <w:t xml:space="preserve"> </w:t>
      </w:r>
      <w:r w:rsidRPr="007963BD">
        <w:rPr>
          <w:lang w:eastAsia="en-AU"/>
        </w:rPr>
        <w:t xml:space="preserve">In the creator’s statement, students provide evidence of their learning, through a reflection on the musical influences on their own creative works. </w:t>
      </w:r>
    </w:p>
    <w:p w14:paraId="2DC2DAAE" w14:textId="77777777" w:rsidR="000A3696" w:rsidRPr="000F6846" w:rsidRDefault="000A3696" w:rsidP="000F6846">
      <w:pPr>
        <w:pStyle w:val="SAAMoreLess"/>
      </w:pPr>
      <w:r w:rsidRPr="000F6846">
        <w:t>The more successful responses commonly:</w:t>
      </w:r>
    </w:p>
    <w:p w14:paraId="274C0DF8" w14:textId="102A2DBC" w:rsidR="000A3696" w:rsidRDefault="000A3696" w:rsidP="000F6846">
      <w:pPr>
        <w:pStyle w:val="SAABullets"/>
      </w:pPr>
      <w:r>
        <w:t>d</w:t>
      </w:r>
      <w:r w:rsidRPr="007321B8">
        <w:t>ocumented and compared practi</w:t>
      </w:r>
      <w:r>
        <w:t>c</w:t>
      </w:r>
      <w:r w:rsidRPr="007321B8">
        <w:t>e and refinement of skills using annotated examples</w:t>
      </w:r>
      <w:r>
        <w:t xml:space="preserve">, ‘before and after’ videos for performance, or equivalent for composition </w:t>
      </w:r>
    </w:p>
    <w:p w14:paraId="2BC0A4E2" w14:textId="3D292CEF" w:rsidR="000A3696" w:rsidRPr="002A1C8C" w:rsidRDefault="000A3696" w:rsidP="000F6846">
      <w:pPr>
        <w:pStyle w:val="SAABullets"/>
      </w:pPr>
      <w:r w:rsidRPr="002A1C8C">
        <w:rPr>
          <w:lang w:eastAsia="en-AU"/>
        </w:rPr>
        <w:t>discussed specific musical details within the creator’s statement, combining visual score excerpts with audio or video</w:t>
      </w:r>
    </w:p>
    <w:p w14:paraId="18823803" w14:textId="77777777" w:rsidR="000A3696" w:rsidRPr="007321B8" w:rsidRDefault="000A3696" w:rsidP="000F6846">
      <w:pPr>
        <w:pStyle w:val="SAABullets"/>
      </w:pPr>
      <w:r>
        <w:t>presented</w:t>
      </w:r>
      <w:r w:rsidRPr="007321B8">
        <w:t xml:space="preserve"> substantial</w:t>
      </w:r>
      <w:r>
        <w:t xml:space="preserve">, </w:t>
      </w:r>
      <w:r w:rsidRPr="007321B8">
        <w:t xml:space="preserve">well-constructed </w:t>
      </w:r>
      <w:r>
        <w:t>works</w:t>
      </w:r>
      <w:r w:rsidRPr="007321B8">
        <w:t xml:space="preserve"> </w:t>
      </w:r>
      <w:r>
        <w:t xml:space="preserve">with consideration for </w:t>
      </w:r>
      <w:r w:rsidRPr="007321B8">
        <w:t>specific instrument</w:t>
      </w:r>
      <w:r>
        <w:t xml:space="preserve"> selection</w:t>
      </w:r>
    </w:p>
    <w:p w14:paraId="56AB909F" w14:textId="7460F39B" w:rsidR="000A3696" w:rsidRPr="007321B8" w:rsidRDefault="000A3696" w:rsidP="000F6846">
      <w:pPr>
        <w:pStyle w:val="SAABullets"/>
      </w:pPr>
      <w:r>
        <w:t>demonstrated a high degree of accuracy and musicality, for performance submissions</w:t>
      </w:r>
      <w:r w:rsidR="000F6846">
        <w:t>.</w:t>
      </w:r>
    </w:p>
    <w:p w14:paraId="1264A960" w14:textId="77777777" w:rsidR="000A3696" w:rsidRPr="007321B8" w:rsidRDefault="000A3696" w:rsidP="000A3696">
      <w:pPr>
        <w:pStyle w:val="SAAMoreLess"/>
      </w:pPr>
      <w:r w:rsidRPr="007321B8">
        <w:lastRenderedPageBreak/>
        <w:t>The less successful responses commonly:</w:t>
      </w:r>
    </w:p>
    <w:p w14:paraId="3AC27D4D" w14:textId="7CEE11E8" w:rsidR="000A3696" w:rsidRDefault="000F6846" w:rsidP="000F6846">
      <w:pPr>
        <w:pStyle w:val="SAABullets"/>
        <w:rPr>
          <w:lang w:eastAsia="en-AU"/>
        </w:rPr>
      </w:pPr>
      <w:r>
        <w:rPr>
          <w:lang w:eastAsia="en-AU"/>
        </w:rPr>
        <w:t>p</w:t>
      </w:r>
      <w:r w:rsidR="000A3696">
        <w:rPr>
          <w:lang w:eastAsia="en-AU"/>
        </w:rPr>
        <w:t>rovided limited evidence of</w:t>
      </w:r>
      <w:r w:rsidR="000A3696" w:rsidRPr="0068113B">
        <w:rPr>
          <w:lang w:eastAsia="en-AU"/>
        </w:rPr>
        <w:t xml:space="preserve"> technical proficiency and control of</w:t>
      </w:r>
      <w:r w:rsidR="000A3696">
        <w:rPr>
          <w:lang w:eastAsia="en-AU"/>
        </w:rPr>
        <w:t xml:space="preserve"> elements such as</w:t>
      </w:r>
      <w:r w:rsidR="000A3696" w:rsidRPr="0068113B">
        <w:rPr>
          <w:lang w:eastAsia="en-AU"/>
        </w:rPr>
        <w:t xml:space="preserve"> timbre and intonation</w:t>
      </w:r>
    </w:p>
    <w:p w14:paraId="524DBA01" w14:textId="5431DD54" w:rsidR="000A3696" w:rsidRPr="0068113B" w:rsidRDefault="000F6846" w:rsidP="000F6846">
      <w:pPr>
        <w:pStyle w:val="SAABullets"/>
        <w:rPr>
          <w:lang w:eastAsia="en-AU"/>
        </w:rPr>
      </w:pPr>
      <w:r>
        <w:rPr>
          <w:lang w:eastAsia="en-AU"/>
        </w:rPr>
        <w:t>l</w:t>
      </w:r>
      <w:r w:rsidR="000A3696">
        <w:rPr>
          <w:lang w:eastAsia="en-AU"/>
        </w:rPr>
        <w:t xml:space="preserve">acked </w:t>
      </w:r>
      <w:r w:rsidR="000A3696" w:rsidRPr="0068113B">
        <w:rPr>
          <w:lang w:eastAsia="en-AU"/>
        </w:rPr>
        <w:t>attention to detail</w:t>
      </w:r>
      <w:r w:rsidR="000A3696">
        <w:rPr>
          <w:lang w:eastAsia="en-AU"/>
        </w:rPr>
        <w:t xml:space="preserve">, </w:t>
      </w:r>
      <w:r w:rsidR="000A3696" w:rsidRPr="0068113B">
        <w:rPr>
          <w:lang w:eastAsia="en-AU"/>
        </w:rPr>
        <w:t xml:space="preserve">such as </w:t>
      </w:r>
      <w:r w:rsidR="000A3696">
        <w:rPr>
          <w:lang w:eastAsia="en-AU"/>
        </w:rPr>
        <w:t xml:space="preserve">limited application of </w:t>
      </w:r>
      <w:r w:rsidR="000A3696" w:rsidRPr="0068113B">
        <w:rPr>
          <w:lang w:eastAsia="en-AU"/>
        </w:rPr>
        <w:t>dynamics and other score markings</w:t>
      </w:r>
    </w:p>
    <w:p w14:paraId="0AE599B3" w14:textId="07E02E64" w:rsidR="000A3696" w:rsidRDefault="000F6846" w:rsidP="000F6846">
      <w:pPr>
        <w:pStyle w:val="SAABullets"/>
        <w:rPr>
          <w:lang w:eastAsia="en-AU"/>
        </w:rPr>
      </w:pPr>
      <w:r>
        <w:rPr>
          <w:lang w:eastAsia="en-AU"/>
        </w:rPr>
        <w:t>d</w:t>
      </w:r>
      <w:r w:rsidR="000A3696">
        <w:rPr>
          <w:lang w:eastAsia="en-AU"/>
        </w:rPr>
        <w:t>isplayed limited</w:t>
      </w:r>
      <w:r w:rsidR="000A3696" w:rsidRPr="0068113B">
        <w:rPr>
          <w:lang w:eastAsia="en-AU"/>
        </w:rPr>
        <w:t xml:space="preserve"> musical understanding</w:t>
      </w:r>
      <w:r w:rsidR="000A3696">
        <w:rPr>
          <w:lang w:eastAsia="en-AU"/>
        </w:rPr>
        <w:t xml:space="preserve"> within the creator’s statement</w:t>
      </w:r>
      <w:r w:rsidR="000A3696" w:rsidRPr="0068113B">
        <w:rPr>
          <w:lang w:eastAsia="en-AU"/>
        </w:rPr>
        <w:t>, focusing personal development rather than musical development</w:t>
      </w:r>
    </w:p>
    <w:p w14:paraId="254619A2" w14:textId="3D8D9DDE" w:rsidR="000A3696" w:rsidRPr="007321B8" w:rsidRDefault="000F6846" w:rsidP="000F6846">
      <w:pPr>
        <w:pStyle w:val="SAABullets"/>
        <w:rPr>
          <w:lang w:eastAsia="en-AU"/>
        </w:rPr>
      </w:pPr>
      <w:r>
        <w:rPr>
          <w:lang w:eastAsia="en-AU"/>
        </w:rPr>
        <w:t>i</w:t>
      </w:r>
      <w:r w:rsidR="000A3696" w:rsidRPr="0068113B">
        <w:rPr>
          <w:lang w:eastAsia="en-AU"/>
        </w:rPr>
        <w:t>ncluded large blocks of text on the screen, rather than fully employing the various aspects of the multimodal format.</w:t>
      </w:r>
    </w:p>
    <w:p w14:paraId="6162BC14" w14:textId="53215A94" w:rsidR="00B30663" w:rsidRPr="00B30663" w:rsidRDefault="00B30663" w:rsidP="00B30663">
      <w:pPr>
        <w:pStyle w:val="Heading2NoNumber"/>
      </w:pPr>
      <w:r w:rsidRPr="00B30663">
        <w:t xml:space="preserve">Assessment Type 2: </w:t>
      </w:r>
      <w:r w:rsidR="000A3696">
        <w:t>Musical Literacy (30%)</w:t>
      </w:r>
    </w:p>
    <w:p w14:paraId="3912B51D" w14:textId="77777777" w:rsidR="000A3696" w:rsidRPr="000A3696" w:rsidRDefault="000A3696" w:rsidP="00D9386E">
      <w:pPr>
        <w:pStyle w:val="SAABody"/>
      </w:pPr>
      <w:r w:rsidRPr="000A3696">
        <w:t>Students complete two or three literacy tasks, allowing students to manipulate musical elements, apply and refine musical literacy skills</w:t>
      </w:r>
      <w:r w:rsidRPr="000A3696">
        <w:rPr>
          <w:lang w:eastAsia="en-AU"/>
        </w:rPr>
        <w:t xml:space="preserve"> including aural perception and notation</w:t>
      </w:r>
      <w:r w:rsidRPr="000A3696">
        <w:t>, deconstruct and analyse musical works and/or styles, and synthesise their findings.</w:t>
      </w:r>
    </w:p>
    <w:p w14:paraId="1DBAE657" w14:textId="7019DB3A" w:rsidR="000A3696" w:rsidRPr="000A3696" w:rsidRDefault="000A3696" w:rsidP="00D9386E">
      <w:pPr>
        <w:pStyle w:val="SAABody"/>
      </w:pPr>
      <w:r w:rsidRPr="000A3696">
        <w:t xml:space="preserve">Schools are welcome to include either two or three literacy tasks, addressing the </w:t>
      </w:r>
      <w:r w:rsidR="002C70F7">
        <w:t>p</w:t>
      </w:r>
      <w:r w:rsidRPr="000A3696">
        <w:t xml:space="preserve">erformance </w:t>
      </w:r>
      <w:r w:rsidR="002C70F7">
        <w:t>s</w:t>
      </w:r>
      <w:r w:rsidRPr="000A3696">
        <w:t xml:space="preserve">tandards. </w:t>
      </w:r>
      <w:r w:rsidRPr="000A3696">
        <w:rPr>
          <w:lang w:eastAsia="en-AU"/>
        </w:rPr>
        <w:t xml:space="preserve">At least one task must be a practical application of students’ skills in manipulating elements of music using standard notation, in a ‘composition or arrangement’ of approximately 2 minutes. This could be, for example, a harmonisation or melodic extension task. </w:t>
      </w:r>
      <w:r w:rsidRPr="000A3696">
        <w:t>If utilising subject adjustments, teachers are reminded that this creative task remains a requirement for this assessment type.</w:t>
      </w:r>
    </w:p>
    <w:p w14:paraId="2623520D" w14:textId="0062F510" w:rsidR="000A3696" w:rsidRPr="000A3696" w:rsidRDefault="000A3696" w:rsidP="00D9386E">
      <w:pPr>
        <w:pStyle w:val="SAABody"/>
      </w:pPr>
      <w:r w:rsidRPr="000A3696">
        <w:t xml:space="preserve">The inclusion of a ‘skills test’ or other musicianship (aural/theory) assessment is permitted at schools’ discretion but it not a requirement. It is noted that if this task if included, a shorter skills development test is suitable; there is no expectation for schools to include an examination-length task in this </w:t>
      </w:r>
      <w:r w:rsidR="002C70F7">
        <w:t>a</w:t>
      </w:r>
      <w:r w:rsidRPr="000A3696">
        <w:t xml:space="preserve">ssessment </w:t>
      </w:r>
      <w:r w:rsidR="002C70F7">
        <w:t>t</w:t>
      </w:r>
      <w:r w:rsidRPr="000A3696">
        <w:t>ype.</w:t>
      </w:r>
    </w:p>
    <w:p w14:paraId="340F8A46" w14:textId="77777777" w:rsidR="000A3696" w:rsidRPr="000A3696" w:rsidRDefault="000A3696" w:rsidP="00D9386E">
      <w:pPr>
        <w:pStyle w:val="SAABody"/>
      </w:pPr>
      <w:r w:rsidRPr="000A3696">
        <w:t>Compositions and arrangements presented were imaginative, of a high standard, and demonstrated a wide range of musical knowledge and skills at a high level. Evidence of analysis skill and knowledge varied, with more successful students evidencing more depth of knowledge.</w:t>
      </w:r>
    </w:p>
    <w:p w14:paraId="6CFDA494" w14:textId="77777777" w:rsidR="00B30663" w:rsidRPr="00B30663" w:rsidRDefault="00B30663" w:rsidP="00D9386E">
      <w:pPr>
        <w:pStyle w:val="SAABody"/>
        <w:rPr>
          <w:i/>
        </w:rPr>
      </w:pPr>
      <w:r w:rsidRPr="00B30663">
        <w:t>Teachers can elicit more successful responses by:</w:t>
      </w:r>
    </w:p>
    <w:p w14:paraId="2A3FB99F" w14:textId="0AA319A4" w:rsidR="000A3696" w:rsidRPr="00D9386E" w:rsidRDefault="000A3696" w:rsidP="00D9386E">
      <w:pPr>
        <w:pStyle w:val="SAABullets"/>
      </w:pPr>
      <w:r w:rsidRPr="00D9386E">
        <w:t>creating explicit opportunities for students to develop analytical skills, and to evidence these through synthesis</w:t>
      </w:r>
    </w:p>
    <w:p w14:paraId="69C0C5D3" w14:textId="77777777" w:rsidR="000A3696" w:rsidRPr="00D9386E" w:rsidRDefault="000A3696" w:rsidP="00D9386E">
      <w:pPr>
        <w:pStyle w:val="SAABullets"/>
      </w:pPr>
      <w:r w:rsidRPr="00D9386E">
        <w:t>supporting students in engaging in creative process that allows for development of ideas over time.</w:t>
      </w:r>
    </w:p>
    <w:p w14:paraId="2789EA2B" w14:textId="77777777" w:rsidR="00B30663" w:rsidRPr="00B30663" w:rsidRDefault="00B30663" w:rsidP="00D9386E">
      <w:pPr>
        <w:pStyle w:val="SAAMoreLess"/>
      </w:pPr>
      <w:r w:rsidRPr="00B30663">
        <w:t>The more successful responses commonly:</w:t>
      </w:r>
    </w:p>
    <w:p w14:paraId="14E43100" w14:textId="41B9FA14" w:rsidR="000A3696" w:rsidRPr="00D9386E" w:rsidRDefault="00D9386E" w:rsidP="00D9386E">
      <w:pPr>
        <w:pStyle w:val="SAABullets"/>
      </w:pPr>
      <w:r>
        <w:t>i</w:t>
      </w:r>
      <w:r w:rsidR="000A3696" w:rsidRPr="00D9386E">
        <w:t>ncluded more than one composition or arrangement (e.g. a set of variations, or multiple shorter movements) that allowed students to evidence a broader scope or skills and knowledge</w:t>
      </w:r>
    </w:p>
    <w:p w14:paraId="11388C64" w14:textId="16BBB30D" w:rsidR="000A3696" w:rsidRPr="00D9386E" w:rsidRDefault="00D9386E" w:rsidP="00D9386E">
      <w:pPr>
        <w:pStyle w:val="SAABullets"/>
      </w:pPr>
      <w:r>
        <w:t>e</w:t>
      </w:r>
      <w:r w:rsidR="000A3696" w:rsidRPr="00D9386E">
        <w:t>videnced musical development within creative works, often including the source material in the submission to illustrate the creative scope</w:t>
      </w:r>
    </w:p>
    <w:p w14:paraId="416EA56E" w14:textId="39D0AEC6" w:rsidR="000A3696" w:rsidRPr="00D9386E" w:rsidRDefault="00D9386E" w:rsidP="00D9386E">
      <w:pPr>
        <w:pStyle w:val="SAABullets"/>
      </w:pPr>
      <w:r>
        <w:t>p</w:t>
      </w:r>
      <w:r w:rsidR="000A3696" w:rsidRPr="00D9386E">
        <w:t>resented a well edited score, including expressive notations like dynamics and articulations</w:t>
      </w:r>
    </w:p>
    <w:p w14:paraId="4CCD4347" w14:textId="15CDAC7C" w:rsidR="000A3696" w:rsidRPr="00D9386E" w:rsidRDefault="00D9386E" w:rsidP="00D9386E">
      <w:pPr>
        <w:pStyle w:val="SAABullets"/>
      </w:pPr>
      <w:r>
        <w:t>u</w:t>
      </w:r>
      <w:r w:rsidR="000A3696" w:rsidRPr="00D9386E">
        <w:t>tili</w:t>
      </w:r>
      <w:r>
        <w:t>s</w:t>
      </w:r>
      <w:r w:rsidR="000A3696" w:rsidRPr="00D9386E">
        <w:t>ed multimodal excerpts to communicate depth of understanding</w:t>
      </w:r>
    </w:p>
    <w:p w14:paraId="799ADE38" w14:textId="77777777" w:rsidR="000A3696" w:rsidRPr="00D9386E" w:rsidRDefault="000A3696" w:rsidP="00D9386E">
      <w:pPr>
        <w:pStyle w:val="SAABullets"/>
      </w:pPr>
      <w:r w:rsidRPr="00D9386E">
        <w:t>presented clearly identifiable synthesis of ideas with appropriate technical terminology in written and multimodal works.</w:t>
      </w:r>
    </w:p>
    <w:p w14:paraId="6CB0E087" w14:textId="3B126AB2" w:rsidR="00B30663" w:rsidRPr="00B30663" w:rsidRDefault="00B30663" w:rsidP="00D9386E">
      <w:pPr>
        <w:pStyle w:val="SAAMoreLess"/>
      </w:pPr>
      <w:r w:rsidRPr="00B30663">
        <w:t>The less successful responses commonly:</w:t>
      </w:r>
    </w:p>
    <w:p w14:paraId="1D7B3942" w14:textId="2BB1076E" w:rsidR="000A3696" w:rsidRDefault="00175D7E" w:rsidP="000A3696">
      <w:pPr>
        <w:pStyle w:val="SAABullets"/>
      </w:pPr>
      <w:r>
        <w:t>c</w:t>
      </w:r>
      <w:r w:rsidR="000A3696">
        <w:t>reated works with errors in notation (e.g. erroneous rhythmic groupings) or with limited notation (e.g. a lack of dynamics or score markings)</w:t>
      </w:r>
    </w:p>
    <w:p w14:paraId="1B5061E2" w14:textId="08D589BE" w:rsidR="000A3696" w:rsidRDefault="00175D7E" w:rsidP="000A3696">
      <w:pPr>
        <w:pStyle w:val="SAABullets"/>
      </w:pPr>
      <w:r>
        <w:t>c</w:t>
      </w:r>
      <w:r w:rsidR="000A3696">
        <w:t>reated works with limited development of musical material; for example, re-scoring the melody and voiced harmonies from an existing publication, rather than creatively applying compositional devices</w:t>
      </w:r>
    </w:p>
    <w:p w14:paraId="75C7EAD3" w14:textId="613CBAC0" w:rsidR="000A3696" w:rsidRDefault="00175D7E" w:rsidP="000A3696">
      <w:pPr>
        <w:pStyle w:val="SAABullets"/>
      </w:pPr>
      <w:r>
        <w:t>f</w:t>
      </w:r>
      <w:r w:rsidR="000A3696">
        <w:t>ocused on historical or other extra-musical information in analyses</w:t>
      </w:r>
    </w:p>
    <w:p w14:paraId="118884AF" w14:textId="159F1AE7" w:rsidR="000A3696" w:rsidRDefault="00175D7E" w:rsidP="000A3696">
      <w:pPr>
        <w:pStyle w:val="SAABullets"/>
      </w:pPr>
      <w:r>
        <w:t>a</w:t>
      </w:r>
      <w:r w:rsidR="000A3696">
        <w:t>nalysed works in isolation rather than comparatively. At times, this resulted in describing, rather than synthesising knowledge and ideas</w:t>
      </w:r>
    </w:p>
    <w:p w14:paraId="3D56F3EF" w14:textId="13FC76AC" w:rsidR="000A3696" w:rsidRPr="00915A23" w:rsidRDefault="00175D7E" w:rsidP="000A3696">
      <w:pPr>
        <w:pStyle w:val="SAABullets"/>
      </w:pPr>
      <w:r>
        <w:t>d</w:t>
      </w:r>
      <w:r w:rsidR="000A3696">
        <w:t>id not utilize the score this to illustrate or evidence the student’s ideas or points</w:t>
      </w:r>
    </w:p>
    <w:p w14:paraId="4BD8E0CE" w14:textId="4B4D577D" w:rsidR="000A3696" w:rsidRPr="00915A23" w:rsidRDefault="00175D7E" w:rsidP="000A3696">
      <w:pPr>
        <w:pStyle w:val="SAABullets"/>
      </w:pPr>
      <w:r>
        <w:t>d</w:t>
      </w:r>
      <w:r w:rsidR="000A3696">
        <w:t>iscussed</w:t>
      </w:r>
      <w:r w:rsidR="000A3696" w:rsidRPr="00915A23">
        <w:t xml:space="preserve"> musical elements</w:t>
      </w:r>
      <w:r w:rsidR="000A3696">
        <w:t xml:space="preserve"> at surface level, with limited or inaccurate terminology.</w:t>
      </w:r>
    </w:p>
    <w:p w14:paraId="5C4870E8" w14:textId="5AFCCB73" w:rsidR="00B30663" w:rsidRPr="00B30663" w:rsidRDefault="00CC0708" w:rsidP="00B30663">
      <w:pPr>
        <w:pStyle w:val="Heading1"/>
      </w:pPr>
      <w:r>
        <w:lastRenderedPageBreak/>
        <w:t>E</w:t>
      </w:r>
      <w:r w:rsidR="00B30663" w:rsidRPr="00B30663">
        <w:t>xternal Assessment</w:t>
      </w:r>
    </w:p>
    <w:p w14:paraId="7D3543D7" w14:textId="75920892" w:rsidR="00B30663" w:rsidRPr="00B30663" w:rsidRDefault="00B30663" w:rsidP="00B30663">
      <w:pPr>
        <w:pStyle w:val="Heading2NoNumber"/>
      </w:pPr>
      <w:r w:rsidRPr="00B30663">
        <w:t xml:space="preserve">Assessment Type 3: </w:t>
      </w:r>
      <w:r w:rsidR="000A3696">
        <w:t>Examination</w:t>
      </w:r>
    </w:p>
    <w:p w14:paraId="5C984A0F" w14:textId="560F745F" w:rsidR="000A3696" w:rsidRPr="00F22124" w:rsidRDefault="000A3696" w:rsidP="00F22124">
      <w:pPr>
        <w:pStyle w:val="SAABody"/>
      </w:pPr>
      <w:r w:rsidRPr="00F22124">
        <w:t>This year, 75 students sat the Music Studies examination.</w:t>
      </w:r>
    </w:p>
    <w:p w14:paraId="595E04CE" w14:textId="77777777" w:rsidR="000A3696" w:rsidRPr="00F22124" w:rsidRDefault="000A3696" w:rsidP="00F22124">
      <w:pPr>
        <w:pStyle w:val="SAAQuestions"/>
      </w:pPr>
      <w:r w:rsidRPr="00F22124">
        <w:t>Question 1</w:t>
      </w:r>
    </w:p>
    <w:p w14:paraId="06EB2722" w14:textId="77777777" w:rsidR="000A3696" w:rsidRPr="00F22124" w:rsidRDefault="000A3696" w:rsidP="00F22124">
      <w:pPr>
        <w:pStyle w:val="SAABody"/>
      </w:pPr>
      <w:r w:rsidRPr="00F22124">
        <w:t>This year, multiple-choice questions were once again worth 1 mark per sub-question. As is often the case, this was a successful question. Common challenges were 1c and 1i, both of which required application of aural skills in more advanced contexts than their preceding questions.</w:t>
      </w:r>
    </w:p>
    <w:p w14:paraId="06490418" w14:textId="77777777" w:rsidR="000A3696" w:rsidRPr="009C27D0" w:rsidRDefault="000A3696" w:rsidP="000A3696">
      <w:pPr>
        <w:pStyle w:val="SAAQuestions"/>
      </w:pPr>
      <w:r w:rsidRPr="009C27D0">
        <w:t>Question 2</w:t>
      </w:r>
    </w:p>
    <w:p w14:paraId="3A2EBDCC" w14:textId="77777777" w:rsidR="000A3696" w:rsidRPr="001C7E9F" w:rsidRDefault="000A3696" w:rsidP="000A3696">
      <w:pPr>
        <w:pStyle w:val="SAABody"/>
        <w:rPr>
          <w:i/>
          <w:iCs/>
        </w:rPr>
      </w:pPr>
      <w:r w:rsidRPr="001C7E9F">
        <w:t xml:space="preserve">This question was responded to competently. Most successful responses evidenced recognition of both triplet and semiquaver subdivisions. </w:t>
      </w:r>
      <w:r w:rsidRPr="00F22124">
        <w:rPr>
          <w:rFonts w:ascii="Roboto Medium" w:hAnsi="Roboto Medium"/>
        </w:rPr>
        <w:t>Students are encouraged to make sure the number of beats in each bar is correct</w:t>
      </w:r>
      <w:r w:rsidRPr="00F22124">
        <w:t>.</w:t>
      </w:r>
    </w:p>
    <w:p w14:paraId="2E3413FA" w14:textId="77777777" w:rsidR="000A3696" w:rsidRPr="009C27D0" w:rsidRDefault="000A3696" w:rsidP="000A3696">
      <w:pPr>
        <w:pStyle w:val="SAAQuestions"/>
      </w:pPr>
      <w:r w:rsidRPr="009C27D0">
        <w:t>Question 3</w:t>
      </w:r>
    </w:p>
    <w:p w14:paraId="1EEF21A2" w14:textId="77777777" w:rsidR="000A3696" w:rsidRPr="00F22124" w:rsidRDefault="000A3696" w:rsidP="00F22124">
      <w:pPr>
        <w:pStyle w:val="SAABody"/>
      </w:pPr>
      <w:r w:rsidRPr="00F22124">
        <w:t>This question was answered quite successfully. Some students successfully named but made errors in notating the chord, often missing one of the flats required.</w:t>
      </w:r>
    </w:p>
    <w:p w14:paraId="56EA0616" w14:textId="77777777" w:rsidR="000A3696" w:rsidRPr="009C27D0" w:rsidRDefault="000A3696" w:rsidP="000A3696">
      <w:pPr>
        <w:pStyle w:val="SAAQuestions"/>
      </w:pPr>
      <w:r w:rsidRPr="009C27D0">
        <w:t>Question 4</w:t>
      </w:r>
    </w:p>
    <w:p w14:paraId="6AF869B5" w14:textId="77777777" w:rsidR="000A3696" w:rsidRPr="00F22124" w:rsidRDefault="000A3696" w:rsidP="00F22124">
      <w:pPr>
        <w:pStyle w:val="SAABody"/>
      </w:pPr>
      <w:r w:rsidRPr="00F22124">
        <w:t>The ascending, higher register scale (scale a) was more often successfully annotated than the descending, lower register scale – despite the relative familiarity students would be likely to have with the tonality of scale b. Students do not need to write a key signature when the question asks for accidentals.</w:t>
      </w:r>
    </w:p>
    <w:p w14:paraId="56FC3E49" w14:textId="77777777" w:rsidR="000A3696" w:rsidRPr="009C27D0" w:rsidRDefault="000A3696" w:rsidP="000A3696">
      <w:pPr>
        <w:pStyle w:val="SAAQuestions"/>
      </w:pPr>
      <w:r w:rsidRPr="009C27D0">
        <w:t>Question 5</w:t>
      </w:r>
    </w:p>
    <w:p w14:paraId="25EE6856" w14:textId="77777777" w:rsidR="000A3696" w:rsidRPr="009C27D0" w:rsidRDefault="000A3696" w:rsidP="000A3696">
      <w:pPr>
        <w:pStyle w:val="SAABody"/>
      </w:pPr>
      <w:r w:rsidRPr="009C27D0">
        <w:t xml:space="preserve">In part (a), most students were able to correctly identify </w:t>
      </w:r>
      <w:r>
        <w:t>some or all errors</w:t>
      </w:r>
      <w:r w:rsidRPr="009C27D0">
        <w:t xml:space="preserve">. </w:t>
      </w:r>
      <w:r>
        <w:t>Most successful students were able to aurally identify errors of both interval and tonality/scale. P</w:t>
      </w:r>
      <w:r w:rsidRPr="009C27D0">
        <w:t>art (b)</w:t>
      </w:r>
      <w:r>
        <w:t xml:space="preserve"> was commonly successful, with the end of Bar 3 being the most challenging portion of this dictation. Students are encouraged to utilize the information available across both parts in completing and proofing their response. </w:t>
      </w:r>
    </w:p>
    <w:p w14:paraId="462581B6" w14:textId="77777777" w:rsidR="000A3696" w:rsidRPr="009C27D0" w:rsidRDefault="000A3696" w:rsidP="000A3696">
      <w:pPr>
        <w:pStyle w:val="SAAQuestions"/>
      </w:pPr>
      <w:r w:rsidRPr="009C27D0">
        <w:t>Question 6</w:t>
      </w:r>
    </w:p>
    <w:p w14:paraId="27EDEE1F" w14:textId="77777777" w:rsidR="000A3696" w:rsidRPr="009C27D0" w:rsidRDefault="000A3696" w:rsidP="000A3696">
      <w:pPr>
        <w:pStyle w:val="SAABody"/>
      </w:pPr>
      <w:r>
        <w:t>There were some very well-developed creative responses to this composition question. Less successful answers mistook the tonality for F major. More successful responses applied knowledge regarding the quality of minor scale. S</w:t>
      </w:r>
      <w:r w:rsidRPr="009C27D0">
        <w:t xml:space="preserve">uccessful answers </w:t>
      </w:r>
      <w:r>
        <w:t xml:space="preserve">developed </w:t>
      </w:r>
      <w:r w:rsidRPr="009C27D0">
        <w:t xml:space="preserve">motives from the first half, with logical implied harmony and an appropriate cadential ending. </w:t>
      </w:r>
    </w:p>
    <w:p w14:paraId="6DD4EE48" w14:textId="77777777" w:rsidR="000A3696" w:rsidRDefault="000A3696" w:rsidP="000A3696">
      <w:pPr>
        <w:pStyle w:val="SAAQuestions"/>
      </w:pPr>
      <w:r w:rsidRPr="009C27D0">
        <w:t>Question 7</w:t>
      </w:r>
    </w:p>
    <w:p w14:paraId="1CC623E3" w14:textId="40D30509" w:rsidR="000A3696" w:rsidRDefault="000A3696" w:rsidP="000A3696">
      <w:pPr>
        <w:pStyle w:val="SAABody"/>
      </w:pPr>
      <w:r>
        <w:t>Generally, students demonstrate a strong grasp of compositional techniques and accurately identified relationships between different voices, as well as presenting capable knowledge of symbols and instrumental techniques. As with previous years, more successful answers demonstrated knowledge of tonality and harmony, as well as fluency in identifying textural elements with accurate terminology. Some responses erroneously described double-stops as monophonic rather than homophonic or offered limited description of texture. For Question 7d, successful responses answered in full, including the provision of evidence.</w:t>
      </w:r>
    </w:p>
    <w:p w14:paraId="785B8C4F" w14:textId="77777777" w:rsidR="000A3696" w:rsidRDefault="000A3696" w:rsidP="000A3696">
      <w:pPr>
        <w:pStyle w:val="SAABody"/>
      </w:pPr>
      <w:r>
        <w:t>Question 7b required reading multiple clefs, identifying quality, and naming the inversion. Another common error of clef reading occurred in Question 7e, with the alto clef often transcribed in the wrong octave. Students are encouraged to rehearse using the formula sheet to derive and to proof for these question types.</w:t>
      </w:r>
    </w:p>
    <w:p w14:paraId="6B22B286" w14:textId="77777777" w:rsidR="000A3696" w:rsidRPr="009C27D0" w:rsidRDefault="000A3696" w:rsidP="000A3696">
      <w:pPr>
        <w:pStyle w:val="SAAQuestions"/>
      </w:pPr>
      <w:r w:rsidRPr="009C27D0">
        <w:t>Question 8</w:t>
      </w:r>
    </w:p>
    <w:p w14:paraId="2D27BA63" w14:textId="3DBEE0E8" w:rsidR="00F22124" w:rsidRDefault="000A3696" w:rsidP="000A3696">
      <w:pPr>
        <w:pStyle w:val="SAABody"/>
      </w:pPr>
      <w:r>
        <w:t xml:space="preserve">This aural-only question was answered well, with nearly all students correctly identifying the roles of the guitar and most students responding well to all parts of the question. The most successful responses aurally identified and correctly stated the meters used in different sections of the work. </w:t>
      </w:r>
    </w:p>
    <w:p w14:paraId="5EC70550" w14:textId="77777777" w:rsidR="00F22124" w:rsidRDefault="00F22124">
      <w:pPr>
        <w:numPr>
          <w:ilvl w:val="0"/>
          <w:numId w:val="0"/>
        </w:numPr>
      </w:pPr>
      <w:r>
        <w:br w:type="page"/>
      </w:r>
    </w:p>
    <w:p w14:paraId="68263D9B" w14:textId="77777777" w:rsidR="000A3696" w:rsidRDefault="000A3696" w:rsidP="000A3696">
      <w:pPr>
        <w:pStyle w:val="SAAQuestions"/>
      </w:pPr>
      <w:r w:rsidRPr="009C27D0">
        <w:lastRenderedPageBreak/>
        <w:t>Question 9</w:t>
      </w:r>
    </w:p>
    <w:p w14:paraId="1E1654C1" w14:textId="77777777" w:rsidR="000A3696" w:rsidRDefault="000A3696" w:rsidP="000A3696">
      <w:pPr>
        <w:pStyle w:val="SAABody"/>
      </w:pPr>
      <w:r>
        <w:t xml:space="preserve">Parts of this question were answered very well, whilst others were more challenging. Nearly all responses capably applied concrete knowledge such as recognition of symbols and intervals, although some students incorrectly stated the quality of the interval. </w:t>
      </w:r>
    </w:p>
    <w:p w14:paraId="59BE23BD" w14:textId="77777777" w:rsidR="000A3696" w:rsidRDefault="000A3696" w:rsidP="000A3696">
      <w:pPr>
        <w:pStyle w:val="SAABody"/>
      </w:pPr>
      <w:r>
        <w:t xml:space="preserve">Most responses did not achieve the full two marks available for Question 9d, which required students to describe the effect of meter and tempo change at bar 23. The more successful responses used language effectively to articulate the relationship between the two sections. Score reading familiarity may also support students to answer questions based in the context of the score, such as identifying the melody across different voices or sections. As noted in the advice above for Question 7, students are encouraged to utilize the formula sheet when reading between clefs or transposing instruments, as well as when naming scale degrees. </w:t>
      </w:r>
    </w:p>
    <w:p w14:paraId="6E6DE944" w14:textId="77777777" w:rsidR="000A3696" w:rsidRPr="009C27D0" w:rsidRDefault="000A3696" w:rsidP="000A3696">
      <w:pPr>
        <w:pStyle w:val="SAAQuestions"/>
      </w:pPr>
      <w:r w:rsidRPr="009C27D0">
        <w:t>Question 10</w:t>
      </w:r>
    </w:p>
    <w:p w14:paraId="099ACD38" w14:textId="77777777" w:rsidR="000A3696" w:rsidRDefault="000A3696" w:rsidP="000A3696">
      <w:pPr>
        <w:pStyle w:val="SAABody"/>
      </w:pPr>
      <w:r>
        <w:t>More successful responses clearly evidenced knowledge of timbre and texture without confusing the two, and described the timbre of instruments (e.g. warm, mellow, harsh) rather than simply naming them. Stronger responses included detail within the elements of dynamics and harmony.</w:t>
      </w:r>
    </w:p>
    <w:p w14:paraId="12BF8608" w14:textId="77777777" w:rsidR="000A3696" w:rsidRDefault="000A3696" w:rsidP="000A3696">
      <w:pPr>
        <w:pStyle w:val="SAAQuestions"/>
      </w:pPr>
      <w:r w:rsidRPr="009C27D0">
        <w:t>Question 11</w:t>
      </w:r>
    </w:p>
    <w:p w14:paraId="1B3ABB81" w14:textId="77777777" w:rsidR="000A3696" w:rsidRDefault="000A3696" w:rsidP="000A3696">
      <w:pPr>
        <w:pStyle w:val="SAABody"/>
      </w:pPr>
      <w:r w:rsidRPr="009C27D0">
        <w:t xml:space="preserve">As with previous years, this question was done well. </w:t>
      </w:r>
      <w:r>
        <w:t xml:space="preserve">Chords were spelled correctly with some extension to the 7th, as well as interest and development of parts referencing the provided rhythm and melody. </w:t>
      </w:r>
      <w:r w:rsidRPr="009C27D0">
        <w:t xml:space="preserve">Students </w:t>
      </w:r>
      <w:r>
        <w:t>may</w:t>
      </w:r>
      <w:r w:rsidRPr="009C27D0">
        <w:t xml:space="preserve"> be reminded that if the question asks for non-chord notes in each part, this </w:t>
      </w:r>
      <w:r>
        <w:t xml:space="preserve">does </w:t>
      </w:r>
      <w:r w:rsidRPr="009C27D0">
        <w:t>include</w:t>
      </w:r>
      <w:r>
        <w:t xml:space="preserve"> </w:t>
      </w:r>
      <w:r w:rsidRPr="009C27D0">
        <w:t>the bass par</w:t>
      </w:r>
      <w:r>
        <w:t>t</w:t>
      </w:r>
      <w:r w:rsidRPr="009C27D0">
        <w:t>.</w:t>
      </w:r>
      <w:r>
        <w:t xml:space="preserve"> </w:t>
      </w:r>
    </w:p>
    <w:p w14:paraId="37380281" w14:textId="77777777" w:rsidR="000A3696" w:rsidRDefault="000A3696" w:rsidP="000A3696">
      <w:pPr>
        <w:pStyle w:val="SAABody"/>
      </w:pPr>
      <w:r>
        <w:t>Several responses omitted the 5</w:t>
      </w:r>
      <w:r w:rsidRPr="009C1F4D">
        <w:rPr>
          <w:vertAlign w:val="superscript"/>
        </w:rPr>
        <w:t>th</w:t>
      </w:r>
      <w:r>
        <w:t xml:space="preserve"> in their chord spelling. This arranging style question does not require strict adherence to procedures of western classical four-part voicing; the fifth may be included in the voicing. However, voices should </w:t>
      </w:r>
      <w:r w:rsidRPr="00C15C71">
        <w:t>maintai</w:t>
      </w:r>
      <w:r>
        <w:t xml:space="preserve">n </w:t>
      </w:r>
      <w:r w:rsidRPr="00C15C71">
        <w:t>the correct order</w:t>
      </w:r>
      <w:r>
        <w:t xml:space="preserve"> (e.g. highest to lowest) and crossing of voices should be avoided.</w:t>
      </w:r>
    </w:p>
    <w:p w14:paraId="7AC4E301" w14:textId="77777777" w:rsidR="000A3696" w:rsidRPr="009C27D0" w:rsidRDefault="000A3696" w:rsidP="000A3696">
      <w:pPr>
        <w:pStyle w:val="SAABody"/>
      </w:pPr>
      <w:r>
        <w:t>Cohesive responses considered the music both</w:t>
      </w:r>
      <w:r w:rsidRPr="009C27D0">
        <w:t xml:space="preserve"> horizontal</w:t>
      </w:r>
      <w:r>
        <w:t xml:space="preserve">ly and vertically. As noted in previous years, </w:t>
      </w:r>
      <w:r w:rsidRPr="009C27D0">
        <w:t xml:space="preserve">some students need to be careful with the effect that accented passing notes create with other parts, </w:t>
      </w:r>
      <w:r>
        <w:t xml:space="preserve">as well as the unintentional creation of </w:t>
      </w:r>
      <w:r w:rsidRPr="009C27D0">
        <w:t>passing chords</w:t>
      </w:r>
      <w:r>
        <w:t xml:space="preserve">. </w:t>
      </w:r>
      <w:r w:rsidRPr="009C27D0">
        <w:t>Students are encouraged to line up their beats so that the harmony used can easily be seen.</w:t>
      </w:r>
    </w:p>
    <w:p w14:paraId="6E459CE4" w14:textId="77777777" w:rsidR="000A3696" w:rsidRPr="009C27D0" w:rsidRDefault="000A3696" w:rsidP="000A3696">
      <w:pPr>
        <w:pStyle w:val="SAAQuestions"/>
      </w:pPr>
      <w:r w:rsidRPr="009C27D0">
        <w:t>Question 12</w:t>
      </w:r>
    </w:p>
    <w:p w14:paraId="7FA0B6A8" w14:textId="77777777" w:rsidR="000A3696" w:rsidRPr="009C27D0" w:rsidRDefault="000A3696" w:rsidP="000A3696">
      <w:pPr>
        <w:pStyle w:val="SAABody"/>
      </w:pPr>
      <w:r>
        <w:t>Most responses were largely, but not entirely, accurate in formatting the rhythm in the two requested meters. The most successful responses ‘showed the beat’ consistently, rather than presenting syncopated rests.</w:t>
      </w:r>
    </w:p>
    <w:p w14:paraId="538C5785" w14:textId="77777777" w:rsidR="000A3696" w:rsidRDefault="000A3696" w:rsidP="000A3696">
      <w:pPr>
        <w:pStyle w:val="SAAQuestions"/>
      </w:pPr>
      <w:r w:rsidRPr="009C27D0">
        <w:t>Question 13</w:t>
      </w:r>
    </w:p>
    <w:p w14:paraId="4A067955" w14:textId="77777777" w:rsidR="000A3696" w:rsidRPr="00D275DC" w:rsidRDefault="000A3696" w:rsidP="000A3696">
      <w:pPr>
        <w:pStyle w:val="SAABody"/>
        <w:rPr>
          <w:sz w:val="22"/>
          <w:szCs w:val="22"/>
        </w:rPr>
      </w:pPr>
      <w:r w:rsidRPr="007F7C4E">
        <w:t>In the interests of being as practical as possible, markers are looking for an overall understanding rather than specific, perhaps arguable details. For example, students will not be penalised if they do not do their piano writing in the exact "Bryce" format in the jazz harmony, with two voices in the left hand, three in the right (although this is normally easier to see the part movement); similarly with the traditional harmony, in the final cadence, students will also not be penalised for an unresolved leading note in an inner part, as is very often done in reality, nor exposed octaves/fifths. Successful students had an overall grasp of the concepts of the harmony they studied, with a musical, rather than purely mathematical, approach to this question, while also demonstrating technical facility.</w:t>
      </w:r>
    </w:p>
    <w:p w14:paraId="7569A0EB" w14:textId="77777777" w:rsidR="000A3696" w:rsidRPr="007F7C4E" w:rsidRDefault="000A3696" w:rsidP="000A3696">
      <w:pPr>
        <w:pStyle w:val="SAABody"/>
        <w:rPr>
          <w:sz w:val="22"/>
          <w:szCs w:val="22"/>
        </w:rPr>
      </w:pPr>
      <w:r>
        <w:t>In 2025, most students selected Option B for this question. Those who selected Option A were generally thorough in their responses, whilst a greater range of achievement was evident in the responses supplied for Option B.</w:t>
      </w:r>
    </w:p>
    <w:p w14:paraId="704F5EEA" w14:textId="77777777" w:rsidR="000A3696" w:rsidRPr="009C27D0" w:rsidRDefault="000A3696" w:rsidP="000A3696">
      <w:pPr>
        <w:pStyle w:val="SAAQuestions"/>
      </w:pPr>
      <w:r w:rsidRPr="009C27D0">
        <w:t>Option A</w:t>
      </w:r>
    </w:p>
    <w:p w14:paraId="2FF9277A" w14:textId="4AC37DAC" w:rsidR="00F22124" w:rsidRDefault="000A3696" w:rsidP="000A3696">
      <w:pPr>
        <w:pStyle w:val="SAABody"/>
      </w:pPr>
      <w:r>
        <w:t xml:space="preserve">Responses to this question were at level consistent with previous years, and the assessment advice offered previously also remains relevant. Successful responses correctly managed cadence points and appropriately placed and voiced inversions. </w:t>
      </w:r>
      <w:r w:rsidRPr="007F7C4E">
        <w:t>It is possible to omit the 5th in one of the chords to allow correct voice leading in the added parts</w:t>
      </w:r>
      <w:r>
        <w:t xml:space="preserve">. </w:t>
      </w:r>
      <w:r w:rsidRPr="007F7C4E">
        <w:t xml:space="preserve">Most students </w:t>
      </w:r>
      <w:r>
        <w:t xml:space="preserve">included correct annotation of their harmony, using </w:t>
      </w:r>
      <w:r w:rsidRPr="007F7C4E">
        <w:t>chord symbols or Roman Number Analysis under the stav</w:t>
      </w:r>
      <w:r>
        <w:t>e.</w:t>
      </w:r>
      <w:r>
        <w:rPr>
          <w:sz w:val="22"/>
          <w:szCs w:val="22"/>
        </w:rPr>
        <w:t xml:space="preserve"> </w:t>
      </w:r>
      <w:r>
        <w:t xml:space="preserve">Responses that included too </w:t>
      </w:r>
      <w:r w:rsidRPr="007F7C4E">
        <w:t>many passing notes</w:t>
      </w:r>
      <w:r>
        <w:t xml:space="preserve"> resulted in</w:t>
      </w:r>
      <w:r w:rsidRPr="007F7C4E">
        <w:t xml:space="preserve"> parallel 5ths or 8ves, or dissonant chords. Passing notes in the given melody do not need to be harmonised with a new chord.</w:t>
      </w:r>
    </w:p>
    <w:p w14:paraId="48B9026E" w14:textId="77777777" w:rsidR="00F22124" w:rsidRDefault="00F22124">
      <w:pPr>
        <w:numPr>
          <w:ilvl w:val="0"/>
          <w:numId w:val="0"/>
        </w:numPr>
      </w:pPr>
      <w:r>
        <w:br w:type="page"/>
      </w:r>
    </w:p>
    <w:p w14:paraId="046C3F87" w14:textId="77777777" w:rsidR="000A3696" w:rsidRDefault="000A3696" w:rsidP="000A3696">
      <w:pPr>
        <w:pStyle w:val="SAAQuestions"/>
      </w:pPr>
      <w:r w:rsidRPr="009C27D0">
        <w:lastRenderedPageBreak/>
        <w:t>Option B</w:t>
      </w:r>
    </w:p>
    <w:p w14:paraId="47CDC71B" w14:textId="77777777" w:rsidR="000A3696" w:rsidRDefault="000A3696" w:rsidP="000A3696">
      <w:pPr>
        <w:pStyle w:val="SAABody"/>
      </w:pPr>
      <w:r w:rsidRPr="005D2522">
        <w:t>Most students chose this option, and generally wrote good solutions.</w:t>
      </w:r>
      <w:r>
        <w:t xml:space="preserve"> Generally,</w:t>
      </w:r>
      <w:r w:rsidRPr="007F7C4E">
        <w:t xml:space="preserve"> responses demonstrated satisfactory chord selection, harmonic rhythm, chord voicing and voice leading. </w:t>
      </w:r>
    </w:p>
    <w:p w14:paraId="3C5C1EF7" w14:textId="77777777" w:rsidR="000A3696" w:rsidRDefault="000A3696" w:rsidP="000A3696">
      <w:pPr>
        <w:pStyle w:val="SAAQuestions"/>
        <w:rPr>
          <w:rFonts w:ascii="Roboto Light" w:eastAsiaTheme="minorHAnsi" w:hAnsi="Roboto Light" w:cstheme="minorBidi"/>
          <w:color w:val="000000"/>
          <w:lang w:eastAsia="en-US"/>
        </w:rPr>
      </w:pPr>
      <w:r>
        <w:rPr>
          <w:rFonts w:ascii="Roboto Light" w:eastAsiaTheme="minorHAnsi" w:hAnsi="Roboto Light" w:cstheme="minorBidi"/>
          <w:color w:val="000000"/>
          <w:lang w:eastAsia="en-US"/>
        </w:rPr>
        <w:t>More successful responses discerned between accidentals that ‘demanded’ treatment as the 3</w:t>
      </w:r>
      <w:r w:rsidRPr="00244F4B">
        <w:rPr>
          <w:rFonts w:ascii="Roboto Light" w:eastAsiaTheme="minorHAnsi" w:hAnsi="Roboto Light" w:cstheme="minorBidi"/>
          <w:color w:val="000000"/>
          <w:vertAlign w:val="superscript"/>
          <w:lang w:eastAsia="en-US"/>
        </w:rPr>
        <w:t>rd</w:t>
      </w:r>
      <w:r>
        <w:rPr>
          <w:rFonts w:ascii="Roboto Light" w:eastAsiaTheme="minorHAnsi" w:hAnsi="Roboto Light" w:cstheme="minorBidi"/>
          <w:color w:val="000000"/>
          <w:lang w:eastAsia="en-US"/>
        </w:rPr>
        <w:t xml:space="preserve"> of a secondary dominant, and those that may be better treated as an altered note (e.g. a raised 5</w:t>
      </w:r>
      <w:r w:rsidRPr="00012AE4">
        <w:rPr>
          <w:rFonts w:ascii="Roboto Light" w:eastAsiaTheme="minorHAnsi" w:hAnsi="Roboto Light" w:cstheme="minorBidi"/>
          <w:color w:val="000000"/>
          <w:vertAlign w:val="superscript"/>
          <w:lang w:eastAsia="en-US"/>
        </w:rPr>
        <w:t>th</w:t>
      </w:r>
      <w:r>
        <w:rPr>
          <w:rFonts w:ascii="Roboto Light" w:eastAsiaTheme="minorHAnsi" w:hAnsi="Roboto Light" w:cstheme="minorBidi"/>
          <w:color w:val="000000"/>
          <w:lang w:eastAsia="en-US"/>
        </w:rPr>
        <w:t>) of a dominant chord.</w:t>
      </w:r>
    </w:p>
    <w:p w14:paraId="351CC080" w14:textId="77777777" w:rsidR="000A3696" w:rsidRDefault="000A3696" w:rsidP="000A3696">
      <w:pPr>
        <w:pStyle w:val="SAAQuestions"/>
        <w:rPr>
          <w:rFonts w:ascii="Roboto Light" w:eastAsiaTheme="minorHAnsi" w:hAnsi="Roboto Light" w:cstheme="minorBidi"/>
          <w:color w:val="000000"/>
          <w:lang w:eastAsia="en-US"/>
        </w:rPr>
      </w:pPr>
      <w:r>
        <w:rPr>
          <w:rFonts w:ascii="Roboto Light" w:eastAsiaTheme="minorHAnsi" w:hAnsi="Roboto Light" w:cstheme="minorBidi"/>
          <w:color w:val="000000"/>
          <w:lang w:eastAsia="en-US"/>
        </w:rPr>
        <w:t>M</w:t>
      </w:r>
      <w:r w:rsidRPr="009721E8">
        <w:rPr>
          <w:rFonts w:ascii="Roboto Light" w:eastAsiaTheme="minorHAnsi" w:hAnsi="Roboto Light" w:cstheme="minorBidi"/>
          <w:color w:val="000000"/>
          <w:lang w:eastAsia="en-US"/>
        </w:rPr>
        <w:t xml:space="preserve">ore successful responses </w:t>
      </w:r>
    </w:p>
    <w:p w14:paraId="2B11AF04" w14:textId="4E404059" w:rsidR="000A3696" w:rsidRDefault="000A3696" w:rsidP="00F22124">
      <w:pPr>
        <w:pStyle w:val="SAABullets"/>
      </w:pPr>
      <w:r>
        <w:t xml:space="preserve">navigated modulations and accidentals logically </w:t>
      </w:r>
    </w:p>
    <w:p w14:paraId="6073EEFD" w14:textId="79BED33E" w:rsidR="000A3696" w:rsidRPr="009721E8" w:rsidRDefault="000A3696" w:rsidP="00F22124">
      <w:pPr>
        <w:pStyle w:val="SAABullets"/>
      </w:pPr>
      <w:r w:rsidRPr="009721E8">
        <w:t>recognised that anticipated notes do not need to be harmonised until the following beat</w:t>
      </w:r>
    </w:p>
    <w:p w14:paraId="5AA44523" w14:textId="2753D8D5" w:rsidR="000A3696" w:rsidRDefault="000A3696" w:rsidP="00F22124">
      <w:pPr>
        <w:pStyle w:val="SAABullets"/>
      </w:pPr>
      <w:r>
        <w:t xml:space="preserve">successfully applied chord extensions at appropriate points </w:t>
      </w:r>
    </w:p>
    <w:p w14:paraId="6AFD38C3" w14:textId="048948CC" w:rsidR="000A3696" w:rsidRDefault="000A3696" w:rsidP="00F22124">
      <w:pPr>
        <w:pStyle w:val="SAABullets"/>
        <w:ind w:right="-285"/>
      </w:pPr>
      <w:r>
        <w:t>incorporated an altered note (e.g. altered 5</w:t>
      </w:r>
      <w:r w:rsidRPr="009721E8">
        <w:rPr>
          <w:vertAlign w:val="superscript"/>
        </w:rPr>
        <w:t>th</w:t>
      </w:r>
      <w:r>
        <w:t xml:space="preserve"> or 9</w:t>
      </w:r>
      <w:r w:rsidRPr="009721E8">
        <w:rPr>
          <w:vertAlign w:val="superscript"/>
        </w:rPr>
        <w:t>th</w:t>
      </w:r>
      <w:r>
        <w:t>), utilizing this to support a standard progression e.g. II V I</w:t>
      </w:r>
      <w:r w:rsidR="00F22124">
        <w:t>.</w:t>
      </w:r>
    </w:p>
    <w:p w14:paraId="0F778402" w14:textId="77777777" w:rsidR="000A3696" w:rsidRPr="00B30663" w:rsidRDefault="000A3696" w:rsidP="000A3696">
      <w:pPr>
        <w:pStyle w:val="Heading2NoNumber"/>
      </w:pPr>
      <w:r w:rsidRPr="00B30663">
        <w:t>General</w:t>
      </w:r>
    </w:p>
    <w:p w14:paraId="770FFB3E" w14:textId="77777777" w:rsidR="000A3696" w:rsidRDefault="000A3696" w:rsidP="000A3696">
      <w:pPr>
        <w:pStyle w:val="SAABody"/>
      </w:pPr>
      <w:r w:rsidRPr="009C27D0">
        <w:t>To make their answers clear, it is helpful if students use either pencil or erasable pen so that errors can be corrected clearly, especially in music notated answers.</w:t>
      </w:r>
    </w:p>
    <w:p w14:paraId="3B267468" w14:textId="0AEE6C0B" w:rsidR="000A3696" w:rsidRPr="00DC7738" w:rsidRDefault="00D34D2F" w:rsidP="000A3696">
      <w:pPr>
        <w:pStyle w:val="SAABody"/>
      </w:pPr>
      <w:r>
        <w:t>Nearly all students attempted all questions</w:t>
      </w:r>
      <w:r w:rsidR="000A3696">
        <w:t>. In the rare instance that a question (or sub-question) was left unanswered, this tended to be a question requiring symbol recognition. Students are encouraged to attempt an answer, even if this answer is informed only by the provided audio.</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E6CB6" w14:textId="77777777" w:rsidR="00214FA8" w:rsidRPr="000D4EDE" w:rsidRDefault="00214FA8" w:rsidP="000D4EDE">
      <w:r>
        <w:separator/>
      </w:r>
    </w:p>
  </w:endnote>
  <w:endnote w:type="continuationSeparator" w:id="0">
    <w:p w14:paraId="4C4D61C3" w14:textId="77777777" w:rsidR="00214FA8" w:rsidRPr="000D4EDE" w:rsidRDefault="00214FA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65717C23" w:rsidR="005A77A8" w:rsidRPr="005A77A8" w:rsidRDefault="005A77A8" w:rsidP="005A77A8">
    <w:pPr>
      <w:pStyle w:val="FootnoteText"/>
      <w:tabs>
        <w:tab w:val="right" w:pos="9070"/>
      </w:tabs>
    </w:pPr>
    <w:r w:rsidRPr="005A77A8">
      <w:t>Stage 2</w:t>
    </w:r>
    <w:r w:rsidR="000A3696">
      <w:t xml:space="preserve"> Music Studies</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6FC83A5" w:rsidR="005A77A8" w:rsidRPr="005A77A8" w:rsidRDefault="005A77A8" w:rsidP="005A77A8">
    <w:pPr>
      <w:pStyle w:val="FootnoteText"/>
    </w:pPr>
    <w:r w:rsidRPr="00353C90">
      <w:t>Ref</w:t>
    </w:r>
    <w:r w:rsidR="00CC0708" w:rsidRPr="00353C90">
      <w:t>: A</w:t>
    </w:r>
    <w:r w:rsidR="00353C90" w:rsidRPr="00353C90">
      <w:t>1748123</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E30B" w14:textId="77777777" w:rsidR="00214FA8" w:rsidRPr="000D4EDE" w:rsidRDefault="00214FA8" w:rsidP="000D4EDE">
      <w:r>
        <w:separator/>
      </w:r>
    </w:p>
  </w:footnote>
  <w:footnote w:type="continuationSeparator" w:id="0">
    <w:p w14:paraId="1A21A0B7" w14:textId="77777777" w:rsidR="00214FA8" w:rsidRPr="000D4EDE" w:rsidRDefault="00214FA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890216"/>
    <w:multiLevelType w:val="multilevel"/>
    <w:tmpl w:val="EFC01F5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789058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3696"/>
    <w:rsid w:val="000A490E"/>
    <w:rsid w:val="000A4BE4"/>
    <w:rsid w:val="000B04C5"/>
    <w:rsid w:val="000B63CA"/>
    <w:rsid w:val="000B752A"/>
    <w:rsid w:val="000C14D9"/>
    <w:rsid w:val="000C15C7"/>
    <w:rsid w:val="000D4EDE"/>
    <w:rsid w:val="000E2460"/>
    <w:rsid w:val="000E43AC"/>
    <w:rsid w:val="000F6846"/>
    <w:rsid w:val="000F703E"/>
    <w:rsid w:val="001066AD"/>
    <w:rsid w:val="00123576"/>
    <w:rsid w:val="00124B21"/>
    <w:rsid w:val="001327B8"/>
    <w:rsid w:val="0013471B"/>
    <w:rsid w:val="001352D4"/>
    <w:rsid w:val="00157C98"/>
    <w:rsid w:val="001653B6"/>
    <w:rsid w:val="00174B0F"/>
    <w:rsid w:val="00175D7E"/>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14FA8"/>
    <w:rsid w:val="00220550"/>
    <w:rsid w:val="00222019"/>
    <w:rsid w:val="00225539"/>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0F7"/>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53C90"/>
    <w:rsid w:val="003633D1"/>
    <w:rsid w:val="00371F54"/>
    <w:rsid w:val="00374727"/>
    <w:rsid w:val="0037770C"/>
    <w:rsid w:val="00377C8B"/>
    <w:rsid w:val="0038268A"/>
    <w:rsid w:val="00383A95"/>
    <w:rsid w:val="00385CA0"/>
    <w:rsid w:val="00386199"/>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A3F63"/>
    <w:rsid w:val="005A579F"/>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2771"/>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B122F"/>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152D"/>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1293"/>
    <w:rsid w:val="00B34339"/>
    <w:rsid w:val="00B42B2F"/>
    <w:rsid w:val="00B44900"/>
    <w:rsid w:val="00B472E1"/>
    <w:rsid w:val="00B52821"/>
    <w:rsid w:val="00B562CF"/>
    <w:rsid w:val="00B569A2"/>
    <w:rsid w:val="00B61D9C"/>
    <w:rsid w:val="00B71170"/>
    <w:rsid w:val="00B73BDF"/>
    <w:rsid w:val="00B74A8B"/>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4D2F"/>
    <w:rsid w:val="00D367EB"/>
    <w:rsid w:val="00D45731"/>
    <w:rsid w:val="00D45954"/>
    <w:rsid w:val="00D461C2"/>
    <w:rsid w:val="00D61AAE"/>
    <w:rsid w:val="00D64CB8"/>
    <w:rsid w:val="00D71B9E"/>
    <w:rsid w:val="00D72FD8"/>
    <w:rsid w:val="00D741AA"/>
    <w:rsid w:val="00D872B0"/>
    <w:rsid w:val="00D9386E"/>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2124"/>
    <w:rsid w:val="00F24F8F"/>
    <w:rsid w:val="00F307E0"/>
    <w:rsid w:val="00F31D9D"/>
    <w:rsid w:val="00F34D63"/>
    <w:rsid w:val="00F4238D"/>
    <w:rsid w:val="00F54CBE"/>
    <w:rsid w:val="00F55A57"/>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0A3696"/>
    <w:pPr>
      <w:numPr>
        <w:numId w:val="0"/>
      </w:numPr>
    </w:pPr>
  </w:style>
  <w:style w:type="character" w:customStyle="1" w:styleId="SAABodyChar">
    <w:name w:val="SAA Body Char"/>
    <w:basedOn w:val="DefaultParagraphFont"/>
    <w:link w:val="SAABody"/>
    <w:rsid w:val="000A3696"/>
  </w:style>
  <w:style w:type="paragraph" w:customStyle="1" w:styleId="SAABullets">
    <w:name w:val="SAA Bullets"/>
    <w:basedOn w:val="ListBullet"/>
    <w:link w:val="SAABulletsChar"/>
    <w:qFormat/>
    <w:rsid w:val="000A3696"/>
    <w:pPr>
      <w:numPr>
        <w:numId w:val="48"/>
      </w:numPr>
    </w:pPr>
  </w:style>
  <w:style w:type="character" w:customStyle="1" w:styleId="SAABulletsChar">
    <w:name w:val="SAA Bullets Char"/>
    <w:basedOn w:val="DefaultParagraphFont"/>
    <w:link w:val="SAABullets"/>
    <w:rsid w:val="000A3696"/>
    <w:rPr>
      <w:color w:val="000000" w:themeColor="text1"/>
    </w:rPr>
  </w:style>
  <w:style w:type="paragraph" w:customStyle="1" w:styleId="SAAMoreLess">
    <w:name w:val="SAA More Less"/>
    <w:basedOn w:val="Normal"/>
    <w:link w:val="SAAMoreLessChar"/>
    <w:qFormat/>
    <w:rsid w:val="000A3696"/>
    <w:pPr>
      <w:numPr>
        <w:numId w:val="0"/>
      </w:numPr>
      <w:spacing w:before="160" w:after="0"/>
    </w:pPr>
    <w:rPr>
      <w:i/>
      <w:color w:val="auto"/>
    </w:rPr>
  </w:style>
  <w:style w:type="character" w:customStyle="1" w:styleId="SAAMoreLessChar">
    <w:name w:val="SAA More Less Char"/>
    <w:basedOn w:val="DefaultParagraphFont"/>
    <w:link w:val="SAAMoreLess"/>
    <w:rsid w:val="000A3696"/>
    <w:rPr>
      <w:i/>
      <w:color w:val="auto"/>
    </w:rPr>
  </w:style>
  <w:style w:type="paragraph" w:customStyle="1" w:styleId="SAAQuestions">
    <w:name w:val="SAA Questions"/>
    <w:basedOn w:val="Normal"/>
    <w:link w:val="SAAQuestionsChar"/>
    <w:qFormat/>
    <w:rsid w:val="000A3696"/>
    <w:pPr>
      <w:numPr>
        <w:numId w:val="0"/>
      </w:numPr>
      <w:spacing w:before="200"/>
    </w:pPr>
    <w:rPr>
      <w:rFonts w:ascii="Roboto Medium" w:eastAsia="Calibri" w:hAnsi="Roboto Medium" w:cs="Calibri"/>
      <w:color w:val="auto"/>
      <w:lang w:eastAsia="en-AU"/>
    </w:rPr>
  </w:style>
  <w:style w:type="character" w:customStyle="1" w:styleId="SAAQuestionsChar">
    <w:name w:val="SAA Questions Char"/>
    <w:basedOn w:val="DefaultParagraphFont"/>
    <w:link w:val="SAAQuestions"/>
    <w:rsid w:val="000A3696"/>
    <w:rPr>
      <w:rFonts w:ascii="Roboto Medium" w:eastAsia="Calibri" w:hAnsi="Roboto Medium" w:cs="Calibri"/>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A1748123</value>
    </field>
    <field name="Objective-Title">
      <value order="0">2025 Music Studies Subject Assessment Advice</value>
    </field>
    <field name="Objective-Description">
      <value order="0"/>
    </field>
    <field name="Objective-CreationStamp">
      <value order="0">2026-02-25T00:36:47Z</value>
    </field>
    <field name="Objective-IsApproved">
      <value order="0">false</value>
    </field>
    <field name="Objective-IsPublished">
      <value order="0">true</value>
    </field>
    <field name="Objective-DatePublished">
      <value order="0">2026-03-02T04:12:00Z</value>
    </field>
    <field name="Objective-ModificationStamp">
      <value order="0">2026-03-02T04:12:15Z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vA2510410</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2026-03-02T21:56:00Z</dcterms:created>
  <dcterms:modified xsi:type="dcterms:W3CDTF">2026-03-02T21:56:00Z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A1748123</vt:lpwstr>
  </property>
  <property fmtid="{D5CDD505-2E9C-101B-9397-08002B2CF9AE}" pid="14" name="Objective-Title">
    <vt:lpwstr>2025 Music Studies Subject Assessment Advice</vt:lpwstr>
  </property>
  <property fmtid="{D5CDD505-2E9C-101B-9397-08002B2CF9AE}" pid="15" name="Objective-Description">
    <vt:lpwstr/>
  </property>
  <property fmtid="{D5CDD505-2E9C-101B-9397-08002B2CF9AE}" pid="16" name="Objective-CreationStamp">
    <vt:filetime>2026-02-25T00:36:47Z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2026-03-02T04:12:00Z</vt:filetime>
  </property>
  <property fmtid="{D5CDD505-2E9C-101B-9397-08002B2CF9AE}" pid="20" name="Objective-ModificationStamp">
    <vt:filetime>2026-03-02T04:12:15Z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vA2510410</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