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3C184" w14:textId="12CEEB33" w:rsidR="00E37A86" w:rsidRPr="00E37A86" w:rsidRDefault="00E37A86" w:rsidP="002A07F0">
      <w:pPr>
        <w:spacing w:line="360" w:lineRule="auto"/>
        <w:ind w:left="-426" w:right="-619"/>
        <w:jc w:val="both"/>
        <w:rPr>
          <w:rFonts w:asciiTheme="majorHAnsi" w:hAnsiTheme="majorHAnsi" w:cstheme="majorHAnsi"/>
          <w:b/>
          <w:bCs/>
        </w:rPr>
      </w:pPr>
      <w:r w:rsidRPr="00E37A86">
        <w:rPr>
          <w:rFonts w:asciiTheme="majorHAnsi" w:hAnsiTheme="majorHAnsi" w:cstheme="majorHAnsi"/>
          <w:b/>
          <w:bCs/>
        </w:rPr>
        <w:t>Should former clients of Nicola Gobbo (Lawyer X), imprisoned because of evidence adduced through Gobbo’s actions as a police informant, have their convictions overturned?</w:t>
      </w:r>
    </w:p>
    <w:p w14:paraId="61A1AF4C" w14:textId="77777777" w:rsidR="00E37A86" w:rsidRDefault="00E37A86" w:rsidP="002A07F0">
      <w:pPr>
        <w:spacing w:line="360" w:lineRule="auto"/>
        <w:ind w:left="-426" w:right="-619"/>
        <w:jc w:val="both"/>
        <w:rPr>
          <w:rFonts w:asciiTheme="majorHAnsi" w:hAnsiTheme="majorHAnsi" w:cstheme="majorHAnsi"/>
        </w:rPr>
      </w:pPr>
    </w:p>
    <w:p w14:paraId="254EDF91" w14:textId="0DE5AD54" w:rsidR="00AB3217" w:rsidRDefault="00667BAF" w:rsidP="002A07F0">
      <w:pPr>
        <w:spacing w:line="360" w:lineRule="auto"/>
        <w:ind w:left="-426" w:right="-619"/>
        <w:jc w:val="both"/>
        <w:rPr>
          <w:rFonts w:asciiTheme="majorHAnsi" w:hAnsiTheme="majorHAnsi" w:cstheme="majorHAnsi"/>
        </w:rPr>
      </w:pPr>
      <w:r w:rsidRPr="00667BAF">
        <w:rPr>
          <w:rFonts w:asciiTheme="majorHAnsi" w:hAnsiTheme="majorHAnsi" w:cstheme="majorHAnsi"/>
        </w:rPr>
        <w:t xml:space="preserve">The adversary system is fundamentally dependant on the fiducial relationship between client and lawyer, which has been </w:t>
      </w:r>
      <w:r w:rsidR="00D865DF">
        <w:rPr>
          <w:rFonts w:asciiTheme="majorHAnsi" w:hAnsiTheme="majorHAnsi" w:cstheme="majorHAnsi"/>
        </w:rPr>
        <w:t>substantially</w:t>
      </w:r>
      <w:r w:rsidR="00D865DF" w:rsidRPr="00667BAF">
        <w:rPr>
          <w:rFonts w:asciiTheme="majorHAnsi" w:hAnsiTheme="majorHAnsi" w:cstheme="majorHAnsi"/>
        </w:rPr>
        <w:t xml:space="preserve"> </w:t>
      </w:r>
      <w:r w:rsidRPr="00667BAF">
        <w:rPr>
          <w:rFonts w:asciiTheme="majorHAnsi" w:hAnsiTheme="majorHAnsi" w:cstheme="majorHAnsi"/>
        </w:rPr>
        <w:t xml:space="preserve">breached amidst the </w:t>
      </w:r>
      <w:r w:rsidR="004A4D8E">
        <w:rPr>
          <w:rFonts w:asciiTheme="majorHAnsi" w:hAnsiTheme="majorHAnsi" w:cstheme="majorHAnsi"/>
        </w:rPr>
        <w:t xml:space="preserve">‘Lawyer X scandal’. Nicola Gobbo – commonly referred to as </w:t>
      </w:r>
      <w:r w:rsidR="00AB3217">
        <w:rPr>
          <w:rFonts w:asciiTheme="majorHAnsi" w:hAnsiTheme="majorHAnsi" w:cstheme="majorHAnsi"/>
        </w:rPr>
        <w:t>‘</w:t>
      </w:r>
      <w:r w:rsidR="004A4D8E">
        <w:rPr>
          <w:rFonts w:asciiTheme="majorHAnsi" w:hAnsiTheme="majorHAnsi" w:cstheme="majorHAnsi"/>
        </w:rPr>
        <w:t>Lawyer X</w:t>
      </w:r>
      <w:r w:rsidR="00AB3217">
        <w:rPr>
          <w:rFonts w:asciiTheme="majorHAnsi" w:hAnsiTheme="majorHAnsi" w:cstheme="majorHAnsi"/>
        </w:rPr>
        <w:t>’</w:t>
      </w:r>
      <w:r w:rsidR="004A4D8E">
        <w:rPr>
          <w:rFonts w:asciiTheme="majorHAnsi" w:hAnsiTheme="majorHAnsi" w:cstheme="majorHAnsi"/>
        </w:rPr>
        <w:t xml:space="preserve"> </w:t>
      </w:r>
      <w:r w:rsidR="00497124">
        <w:rPr>
          <w:rFonts w:asciiTheme="majorHAnsi" w:hAnsiTheme="majorHAnsi" w:cstheme="majorHAnsi"/>
        </w:rPr>
        <w:t>–</w:t>
      </w:r>
      <w:r w:rsidR="004A4D8E">
        <w:rPr>
          <w:rFonts w:asciiTheme="majorHAnsi" w:hAnsiTheme="majorHAnsi" w:cstheme="majorHAnsi"/>
        </w:rPr>
        <w:t xml:space="preserve"> </w:t>
      </w:r>
      <w:r w:rsidR="00497124">
        <w:rPr>
          <w:rFonts w:asciiTheme="majorHAnsi" w:hAnsiTheme="majorHAnsi" w:cstheme="majorHAnsi"/>
        </w:rPr>
        <w:t xml:space="preserve">was </w:t>
      </w:r>
      <w:r w:rsidR="00D33CB4">
        <w:rPr>
          <w:rFonts w:asciiTheme="majorHAnsi" w:hAnsiTheme="majorHAnsi" w:cstheme="majorHAnsi"/>
        </w:rPr>
        <w:t>on the</w:t>
      </w:r>
      <w:r w:rsidR="00497124">
        <w:rPr>
          <w:rFonts w:asciiTheme="majorHAnsi" w:hAnsiTheme="majorHAnsi" w:cstheme="majorHAnsi"/>
        </w:rPr>
        <w:t xml:space="preserve"> </w:t>
      </w:r>
      <w:r w:rsidR="000673F4">
        <w:rPr>
          <w:rFonts w:asciiTheme="majorHAnsi" w:hAnsiTheme="majorHAnsi" w:cstheme="majorHAnsi"/>
        </w:rPr>
        <w:t xml:space="preserve">defence </w:t>
      </w:r>
      <w:r w:rsidR="00D33CB4">
        <w:rPr>
          <w:rFonts w:asciiTheme="majorHAnsi" w:hAnsiTheme="majorHAnsi" w:cstheme="majorHAnsi"/>
        </w:rPr>
        <w:t>couns</w:t>
      </w:r>
      <w:r w:rsidR="00B43EC3">
        <w:rPr>
          <w:rFonts w:asciiTheme="majorHAnsi" w:hAnsiTheme="majorHAnsi" w:cstheme="majorHAnsi"/>
        </w:rPr>
        <w:t>el</w:t>
      </w:r>
      <w:r w:rsidR="000673F4">
        <w:rPr>
          <w:rFonts w:asciiTheme="majorHAnsi" w:hAnsiTheme="majorHAnsi" w:cstheme="majorHAnsi"/>
        </w:rPr>
        <w:t xml:space="preserve"> </w:t>
      </w:r>
      <w:r w:rsidR="00497124">
        <w:rPr>
          <w:rFonts w:asciiTheme="majorHAnsi" w:hAnsiTheme="majorHAnsi" w:cstheme="majorHAnsi"/>
        </w:rPr>
        <w:t xml:space="preserve">for </w:t>
      </w:r>
      <w:r w:rsidR="00FE5945">
        <w:rPr>
          <w:rFonts w:asciiTheme="majorHAnsi" w:hAnsiTheme="majorHAnsi" w:cstheme="majorHAnsi"/>
        </w:rPr>
        <w:t xml:space="preserve">gangland and mafia members </w:t>
      </w:r>
      <w:r w:rsidR="0089764C">
        <w:rPr>
          <w:rFonts w:asciiTheme="majorHAnsi" w:hAnsiTheme="majorHAnsi" w:cstheme="majorHAnsi"/>
        </w:rPr>
        <w:t>in Victoria</w:t>
      </w:r>
      <w:r w:rsidR="00B43EC3">
        <w:rPr>
          <w:rFonts w:asciiTheme="majorHAnsi" w:hAnsiTheme="majorHAnsi" w:cstheme="majorHAnsi"/>
        </w:rPr>
        <w:t xml:space="preserve"> whilst covertly </w:t>
      </w:r>
      <w:r w:rsidR="00D0791C">
        <w:rPr>
          <w:rFonts w:asciiTheme="majorHAnsi" w:hAnsiTheme="majorHAnsi" w:cstheme="majorHAnsi"/>
        </w:rPr>
        <w:t>informing against them to</w:t>
      </w:r>
      <w:r w:rsidR="0089764C">
        <w:rPr>
          <w:rFonts w:asciiTheme="majorHAnsi" w:hAnsiTheme="majorHAnsi" w:cstheme="majorHAnsi"/>
        </w:rPr>
        <w:t xml:space="preserve"> Victoria Police</w:t>
      </w:r>
      <w:r w:rsidR="005A5C9C">
        <w:rPr>
          <w:rFonts w:asciiTheme="majorHAnsi" w:hAnsiTheme="majorHAnsi" w:cstheme="majorHAnsi"/>
        </w:rPr>
        <w:t xml:space="preserve">. </w:t>
      </w:r>
      <w:r w:rsidR="0032649B">
        <w:rPr>
          <w:rFonts w:asciiTheme="majorHAnsi" w:hAnsiTheme="majorHAnsi" w:cstheme="majorHAnsi"/>
        </w:rPr>
        <w:t xml:space="preserve">In the </w:t>
      </w:r>
      <w:r w:rsidR="00C979D2">
        <w:rPr>
          <w:rFonts w:asciiTheme="majorHAnsi" w:hAnsiTheme="majorHAnsi" w:cstheme="majorHAnsi"/>
        </w:rPr>
        <w:t xml:space="preserve">1983 decision </w:t>
      </w:r>
      <w:r w:rsidR="00C979D2" w:rsidRPr="005F781F">
        <w:rPr>
          <w:rFonts w:asciiTheme="majorHAnsi" w:hAnsiTheme="majorHAnsi" w:cstheme="majorHAnsi"/>
          <w:i/>
          <w:iCs/>
        </w:rPr>
        <w:t>Baker v Campbell</w:t>
      </w:r>
      <w:r w:rsidR="00D865DF">
        <w:rPr>
          <w:rFonts w:asciiTheme="majorHAnsi" w:hAnsiTheme="majorHAnsi" w:cstheme="majorHAnsi"/>
        </w:rPr>
        <w:t>,</w:t>
      </w:r>
      <w:r w:rsidR="00782D4C">
        <w:rPr>
          <w:rFonts w:asciiTheme="majorHAnsi" w:hAnsiTheme="majorHAnsi" w:cstheme="majorHAnsi"/>
        </w:rPr>
        <w:t xml:space="preserve"> t</w:t>
      </w:r>
      <w:r w:rsidR="002E5555">
        <w:rPr>
          <w:rFonts w:asciiTheme="majorHAnsi" w:hAnsiTheme="majorHAnsi" w:cstheme="majorHAnsi"/>
        </w:rPr>
        <w:t>h</w:t>
      </w:r>
      <w:r w:rsidR="005F781F">
        <w:rPr>
          <w:rFonts w:asciiTheme="majorHAnsi" w:hAnsiTheme="majorHAnsi" w:cstheme="majorHAnsi"/>
        </w:rPr>
        <w:t xml:space="preserve">e notion </w:t>
      </w:r>
      <w:proofErr w:type="gramStart"/>
      <w:r w:rsidR="005F781F">
        <w:rPr>
          <w:rFonts w:asciiTheme="majorHAnsi" w:hAnsiTheme="majorHAnsi" w:cstheme="majorHAnsi"/>
        </w:rPr>
        <w:t>of</w:t>
      </w:r>
      <w:r w:rsidR="0016368D">
        <w:rPr>
          <w:rFonts w:asciiTheme="majorHAnsi" w:hAnsiTheme="majorHAnsi" w:cstheme="majorHAnsi"/>
        </w:rPr>
        <w:t xml:space="preserve"> </w:t>
      </w:r>
      <w:r w:rsidR="002E5555">
        <w:rPr>
          <w:rFonts w:asciiTheme="majorHAnsi" w:hAnsiTheme="majorHAnsi" w:cstheme="majorHAnsi"/>
        </w:rPr>
        <w:t xml:space="preserve"> </w:t>
      </w:r>
      <w:r w:rsidR="00A52742">
        <w:rPr>
          <w:rFonts w:asciiTheme="majorHAnsi" w:hAnsiTheme="majorHAnsi" w:cstheme="majorHAnsi"/>
        </w:rPr>
        <w:t>client</w:t>
      </w:r>
      <w:proofErr w:type="gramEnd"/>
      <w:r w:rsidR="00A52742">
        <w:rPr>
          <w:rFonts w:asciiTheme="majorHAnsi" w:hAnsiTheme="majorHAnsi" w:cstheme="majorHAnsi"/>
        </w:rPr>
        <w:t xml:space="preserve"> legal privilege </w:t>
      </w:r>
      <w:r w:rsidR="0016368D">
        <w:rPr>
          <w:rFonts w:asciiTheme="majorHAnsi" w:hAnsiTheme="majorHAnsi" w:cstheme="majorHAnsi"/>
        </w:rPr>
        <w:t xml:space="preserve">was </w:t>
      </w:r>
      <w:r w:rsidR="00D865DF">
        <w:rPr>
          <w:rFonts w:asciiTheme="majorHAnsi" w:hAnsiTheme="majorHAnsi" w:cstheme="majorHAnsi"/>
        </w:rPr>
        <w:t>clarified by</w:t>
      </w:r>
      <w:r w:rsidR="0016368D">
        <w:rPr>
          <w:rFonts w:asciiTheme="majorHAnsi" w:hAnsiTheme="majorHAnsi" w:cstheme="majorHAnsi"/>
        </w:rPr>
        <w:t xml:space="preserve"> </w:t>
      </w:r>
      <w:r w:rsidR="00A36F73">
        <w:rPr>
          <w:rFonts w:asciiTheme="majorHAnsi" w:hAnsiTheme="majorHAnsi" w:cstheme="majorHAnsi"/>
        </w:rPr>
        <w:t>the High Court</w:t>
      </w:r>
      <w:r w:rsidR="00AB3217">
        <w:rPr>
          <w:rFonts w:asciiTheme="majorHAnsi" w:hAnsiTheme="majorHAnsi" w:cstheme="majorHAnsi"/>
        </w:rPr>
        <w:t>,</w:t>
      </w:r>
      <w:r w:rsidR="00D865DF">
        <w:rPr>
          <w:rFonts w:asciiTheme="majorHAnsi" w:hAnsiTheme="majorHAnsi" w:cstheme="majorHAnsi"/>
        </w:rPr>
        <w:t xml:space="preserve"> </w:t>
      </w:r>
      <w:r w:rsidR="00362C60">
        <w:rPr>
          <w:rFonts w:asciiTheme="majorHAnsi" w:hAnsiTheme="majorHAnsi" w:cstheme="majorHAnsi"/>
        </w:rPr>
        <w:t>stat</w:t>
      </w:r>
      <w:r w:rsidR="00D865DF">
        <w:rPr>
          <w:rFonts w:asciiTheme="majorHAnsi" w:hAnsiTheme="majorHAnsi" w:cstheme="majorHAnsi"/>
        </w:rPr>
        <w:t>ing</w:t>
      </w:r>
      <w:r w:rsidR="00362C60">
        <w:rPr>
          <w:rFonts w:asciiTheme="majorHAnsi" w:hAnsiTheme="majorHAnsi" w:cstheme="majorHAnsi"/>
        </w:rPr>
        <w:t xml:space="preserve"> </w:t>
      </w:r>
      <w:r w:rsidR="00C232DA">
        <w:rPr>
          <w:rFonts w:asciiTheme="majorHAnsi" w:hAnsiTheme="majorHAnsi" w:cstheme="majorHAnsi"/>
        </w:rPr>
        <w:t xml:space="preserve">that </w:t>
      </w:r>
      <w:r w:rsidR="00362C60">
        <w:rPr>
          <w:rFonts w:asciiTheme="majorHAnsi" w:hAnsiTheme="majorHAnsi" w:cstheme="majorHAnsi"/>
        </w:rPr>
        <w:t>“</w:t>
      </w:r>
      <w:r w:rsidR="00426105" w:rsidRPr="00426105">
        <w:rPr>
          <w:rFonts w:asciiTheme="majorHAnsi" w:hAnsiTheme="majorHAnsi" w:cstheme="majorHAnsi"/>
          <w:i/>
          <w:iCs/>
        </w:rPr>
        <w:t>without it,</w:t>
      </w:r>
      <w:r w:rsidR="00426105">
        <w:rPr>
          <w:rFonts w:asciiTheme="majorHAnsi" w:hAnsiTheme="majorHAnsi" w:cstheme="majorHAnsi"/>
        </w:rPr>
        <w:t xml:space="preserve"> </w:t>
      </w:r>
      <w:r w:rsidR="00C232DA" w:rsidRPr="00C232DA">
        <w:rPr>
          <w:rFonts w:asciiTheme="majorHAnsi" w:hAnsiTheme="majorHAnsi" w:cstheme="majorHAnsi"/>
          <w:i/>
          <w:iCs/>
        </w:rPr>
        <w:t>there can be no assurance that those in need of independent legal advice to cope with the demands and intricacies of modern law</w:t>
      </w:r>
      <w:r w:rsidR="00D865DF">
        <w:rPr>
          <w:rFonts w:asciiTheme="majorHAnsi" w:hAnsiTheme="majorHAnsi" w:cstheme="majorHAnsi"/>
          <w:i/>
          <w:iCs/>
        </w:rPr>
        <w:t xml:space="preserve"> will be able to obtain it</w:t>
      </w:r>
      <w:r w:rsidR="00C232DA" w:rsidRPr="00C232DA">
        <w:rPr>
          <w:rFonts w:asciiTheme="majorHAnsi" w:hAnsiTheme="majorHAnsi" w:cstheme="majorHAnsi"/>
          <w:i/>
          <w:iCs/>
        </w:rPr>
        <w:t>”</w:t>
      </w:r>
      <w:r w:rsidR="00D77BA4">
        <w:rPr>
          <w:rFonts w:asciiTheme="majorHAnsi" w:hAnsiTheme="majorHAnsi" w:cstheme="majorHAnsi"/>
          <w:i/>
          <w:iCs/>
        </w:rPr>
        <w:t xml:space="preserve"> </w:t>
      </w:r>
      <w:r w:rsidR="00D77BA4" w:rsidRPr="00D77BA4">
        <w:rPr>
          <w:rFonts w:asciiTheme="majorHAnsi" w:hAnsiTheme="majorHAnsi" w:cstheme="majorHAnsi"/>
        </w:rPr>
        <w:t>(ALRC</w:t>
      </w:r>
      <w:r w:rsidR="00D77BA4">
        <w:rPr>
          <w:rFonts w:asciiTheme="majorHAnsi" w:hAnsiTheme="majorHAnsi" w:cstheme="majorHAnsi"/>
        </w:rPr>
        <w:t xml:space="preserve">, </w:t>
      </w:r>
      <w:r w:rsidR="00E141DF">
        <w:rPr>
          <w:rFonts w:asciiTheme="majorHAnsi" w:hAnsiTheme="majorHAnsi" w:cstheme="majorHAnsi"/>
        </w:rPr>
        <w:t>1983).</w:t>
      </w:r>
      <w:r w:rsidR="006E71A4">
        <w:rPr>
          <w:rFonts w:asciiTheme="majorHAnsi" w:hAnsiTheme="majorHAnsi" w:cstheme="majorHAnsi"/>
        </w:rPr>
        <w:t xml:space="preserve"> </w:t>
      </w:r>
      <w:r w:rsidR="00AB3217">
        <w:rPr>
          <w:rFonts w:asciiTheme="majorHAnsi" w:hAnsiTheme="majorHAnsi" w:cstheme="majorHAnsi"/>
        </w:rPr>
        <w:t>In other words, the certainty of lawyer-client confidentiality is essential if people accused of committing a crime are to have faith that they can disclose the relevant facts to their lawyer without it being used against them. Where it is used against them, this will likely amount to a “miscarriage of justice” (</w:t>
      </w:r>
      <w:proofErr w:type="spellStart"/>
      <w:r w:rsidR="00AB3217">
        <w:rPr>
          <w:rFonts w:asciiTheme="majorHAnsi" w:hAnsiTheme="majorHAnsi" w:cstheme="majorHAnsi"/>
        </w:rPr>
        <w:t>Wahlquist</w:t>
      </w:r>
      <w:proofErr w:type="spellEnd"/>
      <w:r w:rsidR="00AB3217">
        <w:rPr>
          <w:rFonts w:asciiTheme="majorHAnsi" w:hAnsiTheme="majorHAnsi" w:cstheme="majorHAnsi"/>
        </w:rPr>
        <w:t xml:space="preserve">, 2020), which became the main reason for the acquittal of Frank Orman and is the basis of three appeals currently before the courts (Sweeney, 2020). So, if the courts were to give priority to this notion of ‘certainty’, then they would likely allow these appeals and many of the convictions secured because of Gobbo’s informing would be overturned. But to do so would </w:t>
      </w:r>
      <w:r w:rsidR="00E37A86">
        <w:rPr>
          <w:rFonts w:asciiTheme="majorHAnsi" w:hAnsiTheme="majorHAnsi" w:cstheme="majorHAnsi"/>
        </w:rPr>
        <w:t>perhaps</w:t>
      </w:r>
      <w:r w:rsidR="00AB3217">
        <w:rPr>
          <w:rFonts w:asciiTheme="majorHAnsi" w:hAnsiTheme="majorHAnsi" w:cstheme="majorHAnsi"/>
        </w:rPr>
        <w:t xml:space="preserve"> </w:t>
      </w:r>
      <w:r w:rsidR="00E37A86">
        <w:rPr>
          <w:rFonts w:asciiTheme="majorHAnsi" w:hAnsiTheme="majorHAnsi" w:cstheme="majorHAnsi"/>
        </w:rPr>
        <w:t xml:space="preserve">risk </w:t>
      </w:r>
      <w:r w:rsidR="00AB3217">
        <w:rPr>
          <w:rFonts w:asciiTheme="majorHAnsi" w:hAnsiTheme="majorHAnsi" w:cstheme="majorHAnsi"/>
        </w:rPr>
        <w:t xml:space="preserve">the safety of the community by releasing </w:t>
      </w:r>
      <w:r w:rsidR="00E37A86">
        <w:rPr>
          <w:rFonts w:asciiTheme="majorHAnsi" w:hAnsiTheme="majorHAnsi" w:cstheme="majorHAnsi"/>
        </w:rPr>
        <w:t>potentially d</w:t>
      </w:r>
      <w:r w:rsidR="00AB3217">
        <w:rPr>
          <w:rFonts w:asciiTheme="majorHAnsi" w:hAnsiTheme="majorHAnsi" w:cstheme="majorHAnsi"/>
        </w:rPr>
        <w:t xml:space="preserve">angerous criminals back into society </w:t>
      </w:r>
      <w:proofErr w:type="gramStart"/>
      <w:r w:rsidR="00AB3217">
        <w:rPr>
          <w:rFonts w:asciiTheme="majorHAnsi" w:hAnsiTheme="majorHAnsi" w:cstheme="majorHAnsi"/>
        </w:rPr>
        <w:t>on the basis of</w:t>
      </w:r>
      <w:proofErr w:type="gramEnd"/>
      <w:r w:rsidR="00AB3217">
        <w:rPr>
          <w:rFonts w:asciiTheme="majorHAnsi" w:hAnsiTheme="majorHAnsi" w:cstheme="majorHAnsi"/>
        </w:rPr>
        <w:t xml:space="preserve"> a legal technicality. Thus</w:t>
      </w:r>
      <w:r w:rsidR="00E37A86">
        <w:rPr>
          <w:rFonts w:asciiTheme="majorHAnsi" w:hAnsiTheme="majorHAnsi" w:cstheme="majorHAnsi"/>
        </w:rPr>
        <w:t>,</w:t>
      </w:r>
      <w:r w:rsidR="00AB3217">
        <w:rPr>
          <w:rFonts w:asciiTheme="majorHAnsi" w:hAnsiTheme="majorHAnsi" w:cstheme="majorHAnsi"/>
        </w:rPr>
        <w:t xml:space="preserve"> there is a tension between protecting the rights of the convicted and the rights of the wider community. Equally, there is a tension between </w:t>
      </w:r>
      <w:r w:rsidR="00E37A86">
        <w:rPr>
          <w:rFonts w:asciiTheme="majorHAnsi" w:hAnsiTheme="majorHAnsi" w:cstheme="majorHAnsi"/>
        </w:rPr>
        <w:t>trying to</w:t>
      </w:r>
      <w:r w:rsidR="00AB3217">
        <w:rPr>
          <w:rFonts w:asciiTheme="majorHAnsi" w:hAnsiTheme="majorHAnsi" w:cstheme="majorHAnsi"/>
        </w:rPr>
        <w:t xml:space="preserve"> achieve certainty in the development and application of legal principles, and the possible need for courts to perhaps embrace flexibility by interpreting rules of evidence less strictly for the greater good. </w:t>
      </w:r>
    </w:p>
    <w:p w14:paraId="5720396A" w14:textId="0A477B51" w:rsidR="00753853" w:rsidRDefault="00753853" w:rsidP="00AB3217">
      <w:pPr>
        <w:spacing w:line="360" w:lineRule="auto"/>
        <w:ind w:right="-619"/>
        <w:jc w:val="both"/>
        <w:rPr>
          <w:rFonts w:asciiTheme="majorHAnsi" w:hAnsiTheme="majorHAnsi" w:cstheme="majorHAnsi"/>
        </w:rPr>
      </w:pPr>
    </w:p>
    <w:p w14:paraId="279BF551" w14:textId="3584F712" w:rsidR="007A558B" w:rsidRDefault="00D865DF" w:rsidP="00103CA5">
      <w:pPr>
        <w:spacing w:line="360" w:lineRule="auto"/>
        <w:ind w:left="-426" w:right="-619"/>
        <w:jc w:val="both"/>
        <w:rPr>
          <w:rFonts w:asciiTheme="majorHAnsi" w:hAnsiTheme="majorHAnsi" w:cstheme="majorHAnsi"/>
        </w:rPr>
      </w:pPr>
      <w:r>
        <w:rPr>
          <w:rFonts w:asciiTheme="majorHAnsi" w:hAnsiTheme="majorHAnsi" w:cstheme="majorHAnsi"/>
        </w:rPr>
        <w:t>It is argued that a</w:t>
      </w:r>
      <w:r w:rsidR="00A9487F">
        <w:rPr>
          <w:rFonts w:asciiTheme="majorHAnsi" w:hAnsiTheme="majorHAnsi" w:cstheme="majorHAnsi"/>
        </w:rPr>
        <w:t xml:space="preserve">cquittals should be </w:t>
      </w:r>
      <w:r>
        <w:rPr>
          <w:rFonts w:asciiTheme="majorHAnsi" w:hAnsiTheme="majorHAnsi" w:cstheme="majorHAnsi"/>
        </w:rPr>
        <w:t xml:space="preserve">granted </w:t>
      </w:r>
      <w:r w:rsidR="00A9487F">
        <w:rPr>
          <w:rFonts w:asciiTheme="majorHAnsi" w:hAnsiTheme="majorHAnsi" w:cstheme="majorHAnsi"/>
        </w:rPr>
        <w:t xml:space="preserve">following </w:t>
      </w:r>
      <w:r>
        <w:rPr>
          <w:rFonts w:asciiTheme="majorHAnsi" w:hAnsiTheme="majorHAnsi" w:cstheme="majorHAnsi"/>
        </w:rPr>
        <w:t>t</w:t>
      </w:r>
      <w:r w:rsidR="007F76F5">
        <w:rPr>
          <w:rFonts w:asciiTheme="majorHAnsi" w:hAnsiTheme="majorHAnsi" w:cstheme="majorHAnsi"/>
        </w:rPr>
        <w:t>he High Court of Australia</w:t>
      </w:r>
      <w:r>
        <w:rPr>
          <w:rFonts w:asciiTheme="majorHAnsi" w:hAnsiTheme="majorHAnsi" w:cstheme="majorHAnsi"/>
        </w:rPr>
        <w:t>’s</w:t>
      </w:r>
      <w:r w:rsidR="007F76F5">
        <w:rPr>
          <w:rFonts w:asciiTheme="majorHAnsi" w:hAnsiTheme="majorHAnsi" w:cstheme="majorHAnsi"/>
        </w:rPr>
        <w:t xml:space="preserve"> </w:t>
      </w:r>
      <w:r w:rsidR="00EC3CF9">
        <w:rPr>
          <w:rFonts w:asciiTheme="majorHAnsi" w:hAnsiTheme="majorHAnsi" w:cstheme="majorHAnsi"/>
        </w:rPr>
        <w:t>ascertainment</w:t>
      </w:r>
      <w:r w:rsidR="00F834C3">
        <w:rPr>
          <w:rFonts w:asciiTheme="majorHAnsi" w:hAnsiTheme="majorHAnsi" w:cstheme="majorHAnsi"/>
        </w:rPr>
        <w:t xml:space="preserve"> that Gobbo’s actions were contrary to </w:t>
      </w:r>
      <w:r w:rsidR="00E112BB">
        <w:rPr>
          <w:rFonts w:asciiTheme="majorHAnsi" w:hAnsiTheme="majorHAnsi" w:cstheme="majorHAnsi"/>
        </w:rPr>
        <w:t>the</w:t>
      </w:r>
      <w:r w:rsidR="00F834C3">
        <w:rPr>
          <w:rFonts w:asciiTheme="majorHAnsi" w:hAnsiTheme="majorHAnsi" w:cstheme="majorHAnsi"/>
        </w:rPr>
        <w:t xml:space="preserve"> legal obligations </w:t>
      </w:r>
      <w:r w:rsidR="00E112BB">
        <w:rPr>
          <w:rFonts w:asciiTheme="majorHAnsi" w:hAnsiTheme="majorHAnsi" w:cstheme="majorHAnsi"/>
        </w:rPr>
        <w:t xml:space="preserve">owed </w:t>
      </w:r>
      <w:r w:rsidR="00266B64">
        <w:rPr>
          <w:rFonts w:asciiTheme="majorHAnsi" w:hAnsiTheme="majorHAnsi" w:cstheme="majorHAnsi"/>
        </w:rPr>
        <w:t xml:space="preserve">to her clients and </w:t>
      </w:r>
      <w:r w:rsidR="00641067">
        <w:rPr>
          <w:rFonts w:asciiTheme="majorHAnsi" w:hAnsiTheme="majorHAnsi" w:cstheme="majorHAnsi"/>
        </w:rPr>
        <w:t>to the courts generally</w:t>
      </w:r>
      <w:r w:rsidR="00266B64">
        <w:rPr>
          <w:rFonts w:asciiTheme="majorHAnsi" w:hAnsiTheme="majorHAnsi" w:cstheme="majorHAnsi"/>
        </w:rPr>
        <w:t>.</w:t>
      </w:r>
      <w:r w:rsidR="00641067">
        <w:rPr>
          <w:rFonts w:asciiTheme="majorHAnsi" w:hAnsiTheme="majorHAnsi" w:cstheme="majorHAnsi"/>
        </w:rPr>
        <w:t xml:space="preserve"> The first finding was that her actions were </w:t>
      </w:r>
      <w:r w:rsidR="000A6586">
        <w:rPr>
          <w:rFonts w:asciiTheme="majorHAnsi" w:hAnsiTheme="majorHAnsi" w:cstheme="majorHAnsi"/>
        </w:rPr>
        <w:t>inconsistent with the Australian Solicitor Conduct Rules</w:t>
      </w:r>
      <w:r w:rsidR="00791D5E">
        <w:rPr>
          <w:rFonts w:asciiTheme="majorHAnsi" w:hAnsiTheme="majorHAnsi" w:cstheme="majorHAnsi"/>
        </w:rPr>
        <w:t xml:space="preserve"> </w:t>
      </w:r>
      <w:r>
        <w:rPr>
          <w:rFonts w:asciiTheme="majorHAnsi" w:hAnsiTheme="majorHAnsi" w:cstheme="majorHAnsi"/>
        </w:rPr>
        <w:t xml:space="preserve">which </w:t>
      </w:r>
      <w:r w:rsidR="00E112BB">
        <w:rPr>
          <w:rFonts w:asciiTheme="majorHAnsi" w:hAnsiTheme="majorHAnsi" w:cstheme="majorHAnsi"/>
        </w:rPr>
        <w:t>deem</w:t>
      </w:r>
      <w:r w:rsidR="004B0D14">
        <w:rPr>
          <w:rFonts w:asciiTheme="majorHAnsi" w:hAnsiTheme="majorHAnsi" w:cstheme="majorHAnsi"/>
        </w:rPr>
        <w:t xml:space="preserve"> “</w:t>
      </w:r>
      <w:r w:rsidR="00CF5B53" w:rsidRPr="00CF5B53">
        <w:rPr>
          <w:rFonts w:asciiTheme="majorHAnsi" w:hAnsiTheme="majorHAnsi" w:cstheme="majorHAnsi"/>
        </w:rPr>
        <w:t>the administration of justice is paramount and prevails to the extent of inconsistency with any other duty</w:t>
      </w:r>
      <w:r w:rsidR="004B0D14">
        <w:rPr>
          <w:rFonts w:asciiTheme="majorHAnsi" w:hAnsiTheme="majorHAnsi" w:cstheme="majorHAnsi"/>
        </w:rPr>
        <w:t xml:space="preserve">” (Legislation NSW, </w:t>
      </w:r>
      <w:r w:rsidR="00473BFD">
        <w:rPr>
          <w:rFonts w:asciiTheme="majorHAnsi" w:hAnsiTheme="majorHAnsi" w:cstheme="majorHAnsi"/>
        </w:rPr>
        <w:t xml:space="preserve">2015). </w:t>
      </w:r>
      <w:r>
        <w:rPr>
          <w:rFonts w:asciiTheme="majorHAnsi" w:hAnsiTheme="majorHAnsi" w:cstheme="majorHAnsi"/>
        </w:rPr>
        <w:t>The rules are considered broken if</w:t>
      </w:r>
      <w:r w:rsidR="00CE2443">
        <w:rPr>
          <w:rFonts w:asciiTheme="majorHAnsi" w:hAnsiTheme="majorHAnsi" w:cstheme="majorHAnsi"/>
        </w:rPr>
        <w:t xml:space="preserve"> </w:t>
      </w:r>
      <w:r w:rsidR="0090393F">
        <w:rPr>
          <w:rFonts w:asciiTheme="majorHAnsi" w:hAnsiTheme="majorHAnsi" w:cstheme="majorHAnsi"/>
        </w:rPr>
        <w:t>“</w:t>
      </w:r>
      <w:r w:rsidR="0090393F" w:rsidRPr="0090393F">
        <w:rPr>
          <w:rFonts w:asciiTheme="majorHAnsi" w:hAnsiTheme="majorHAnsi" w:cstheme="majorHAnsi"/>
        </w:rPr>
        <w:t>solicitors or counsel do not possess the objectivity and independence which their professional responsibilities and obligations to the court require of them”</w:t>
      </w:r>
      <w:r w:rsidR="0090393F">
        <w:rPr>
          <w:rFonts w:asciiTheme="majorHAnsi" w:hAnsiTheme="majorHAnsi" w:cstheme="majorHAnsi"/>
        </w:rPr>
        <w:t xml:space="preserve"> (</w:t>
      </w:r>
      <w:r w:rsidR="003C3ACC">
        <w:rPr>
          <w:rFonts w:asciiTheme="majorHAnsi" w:hAnsiTheme="majorHAnsi" w:cstheme="majorHAnsi"/>
        </w:rPr>
        <w:t xml:space="preserve">Trove, 2019). </w:t>
      </w:r>
      <w:r w:rsidR="00D34755">
        <w:rPr>
          <w:rFonts w:asciiTheme="majorHAnsi" w:hAnsiTheme="majorHAnsi" w:cstheme="majorHAnsi"/>
        </w:rPr>
        <w:t>Gobbo</w:t>
      </w:r>
      <w:r w:rsidR="00DC1B3E">
        <w:rPr>
          <w:rFonts w:asciiTheme="majorHAnsi" w:hAnsiTheme="majorHAnsi" w:cstheme="majorHAnsi"/>
        </w:rPr>
        <w:t xml:space="preserve"> covertly exchanged material used to mount the prosecution cases against her client</w:t>
      </w:r>
      <w:r w:rsidR="008B29C5">
        <w:rPr>
          <w:rFonts w:asciiTheme="majorHAnsi" w:hAnsiTheme="majorHAnsi" w:cstheme="majorHAnsi"/>
        </w:rPr>
        <w:t>s</w:t>
      </w:r>
      <w:r w:rsidR="00DC1B3E">
        <w:rPr>
          <w:rFonts w:asciiTheme="majorHAnsi" w:hAnsiTheme="majorHAnsi" w:cstheme="majorHAnsi"/>
        </w:rPr>
        <w:t xml:space="preserve"> inhibit</w:t>
      </w:r>
      <w:r>
        <w:rPr>
          <w:rFonts w:asciiTheme="majorHAnsi" w:hAnsiTheme="majorHAnsi" w:cstheme="majorHAnsi"/>
        </w:rPr>
        <w:t>ing</w:t>
      </w:r>
      <w:r w:rsidR="00DC1B3E">
        <w:rPr>
          <w:rFonts w:asciiTheme="majorHAnsi" w:hAnsiTheme="majorHAnsi" w:cstheme="majorHAnsi"/>
        </w:rPr>
        <w:t xml:space="preserve"> her ability to remain independent and thus violated </w:t>
      </w:r>
      <w:r w:rsidR="004D6CD3">
        <w:rPr>
          <w:rFonts w:asciiTheme="majorHAnsi" w:hAnsiTheme="majorHAnsi" w:cstheme="majorHAnsi"/>
        </w:rPr>
        <w:t xml:space="preserve">her obligations </w:t>
      </w:r>
      <w:r w:rsidR="00035D54">
        <w:rPr>
          <w:rFonts w:asciiTheme="majorHAnsi" w:hAnsiTheme="majorHAnsi" w:cstheme="majorHAnsi"/>
        </w:rPr>
        <w:t xml:space="preserve">and </w:t>
      </w:r>
      <w:r w:rsidR="00305DEA">
        <w:rPr>
          <w:rFonts w:asciiTheme="majorHAnsi" w:hAnsiTheme="majorHAnsi" w:cstheme="majorHAnsi"/>
        </w:rPr>
        <w:t>undermine</w:t>
      </w:r>
      <w:r w:rsidR="00035D54">
        <w:rPr>
          <w:rFonts w:asciiTheme="majorHAnsi" w:hAnsiTheme="majorHAnsi" w:cstheme="majorHAnsi"/>
        </w:rPr>
        <w:t>d</w:t>
      </w:r>
      <w:r w:rsidR="00305DEA">
        <w:rPr>
          <w:rFonts w:asciiTheme="majorHAnsi" w:hAnsiTheme="majorHAnsi" w:cstheme="majorHAnsi"/>
        </w:rPr>
        <w:t xml:space="preserve"> the judicial system</w:t>
      </w:r>
      <w:r w:rsidR="00035D54">
        <w:rPr>
          <w:rFonts w:asciiTheme="majorHAnsi" w:hAnsiTheme="majorHAnsi" w:cstheme="majorHAnsi"/>
        </w:rPr>
        <w:t xml:space="preserve">. </w:t>
      </w:r>
      <w:r w:rsidR="0016732D">
        <w:rPr>
          <w:rFonts w:asciiTheme="majorHAnsi" w:hAnsiTheme="majorHAnsi" w:cstheme="majorHAnsi"/>
        </w:rPr>
        <w:t xml:space="preserve">The process </w:t>
      </w:r>
      <w:r w:rsidR="00C63CA6">
        <w:rPr>
          <w:rFonts w:asciiTheme="majorHAnsi" w:hAnsiTheme="majorHAnsi" w:cstheme="majorHAnsi"/>
        </w:rPr>
        <w:t xml:space="preserve">to achieve acquittals </w:t>
      </w:r>
      <w:r w:rsidR="00934024">
        <w:rPr>
          <w:rFonts w:asciiTheme="majorHAnsi" w:hAnsiTheme="majorHAnsi" w:cstheme="majorHAnsi"/>
        </w:rPr>
        <w:t xml:space="preserve">for Gobbo’s </w:t>
      </w:r>
      <w:r w:rsidR="00CF57BD">
        <w:rPr>
          <w:rFonts w:asciiTheme="majorHAnsi" w:hAnsiTheme="majorHAnsi" w:cstheme="majorHAnsi"/>
        </w:rPr>
        <w:t xml:space="preserve">former clients </w:t>
      </w:r>
      <w:r w:rsidR="00C63CA6">
        <w:rPr>
          <w:rFonts w:asciiTheme="majorHAnsi" w:hAnsiTheme="majorHAnsi" w:cstheme="majorHAnsi"/>
        </w:rPr>
        <w:t xml:space="preserve">requires a </w:t>
      </w:r>
      <w:r w:rsidR="00C63CA6">
        <w:rPr>
          <w:rFonts w:asciiTheme="majorHAnsi" w:hAnsiTheme="majorHAnsi" w:cstheme="majorHAnsi"/>
        </w:rPr>
        <w:lastRenderedPageBreak/>
        <w:t xml:space="preserve">judgement that </w:t>
      </w:r>
      <w:r w:rsidR="00E736AB">
        <w:rPr>
          <w:rFonts w:asciiTheme="majorHAnsi" w:hAnsiTheme="majorHAnsi" w:cstheme="majorHAnsi"/>
        </w:rPr>
        <w:t>“a substantial miscarriage of justice has actually occurred”</w:t>
      </w:r>
      <w:r>
        <w:rPr>
          <w:rFonts w:asciiTheme="majorHAnsi" w:hAnsiTheme="majorHAnsi" w:cstheme="majorHAnsi"/>
        </w:rPr>
        <w:t xml:space="preserve"> and an assessment of</w:t>
      </w:r>
      <w:r w:rsidR="001F2CC3">
        <w:rPr>
          <w:rFonts w:asciiTheme="majorHAnsi" w:hAnsiTheme="majorHAnsi" w:cstheme="majorHAnsi"/>
        </w:rPr>
        <w:t xml:space="preserve"> </w:t>
      </w:r>
      <w:r>
        <w:rPr>
          <w:rFonts w:asciiTheme="majorHAnsi" w:hAnsiTheme="majorHAnsi" w:cstheme="majorHAnsi"/>
        </w:rPr>
        <w:t>w</w:t>
      </w:r>
      <w:r w:rsidR="00E931E0">
        <w:rPr>
          <w:rFonts w:asciiTheme="majorHAnsi" w:hAnsiTheme="majorHAnsi" w:cstheme="majorHAnsi"/>
        </w:rPr>
        <w:t xml:space="preserve">hether the prosecution’s evidence satisfied a </w:t>
      </w:r>
      <w:r>
        <w:rPr>
          <w:rFonts w:asciiTheme="majorHAnsi" w:hAnsiTheme="majorHAnsi" w:cstheme="majorHAnsi"/>
        </w:rPr>
        <w:t>‘</w:t>
      </w:r>
      <w:r w:rsidR="00E931E0">
        <w:rPr>
          <w:rFonts w:asciiTheme="majorHAnsi" w:hAnsiTheme="majorHAnsi" w:cstheme="majorHAnsi"/>
        </w:rPr>
        <w:t>beyond reasonable doubt</w:t>
      </w:r>
      <w:r>
        <w:rPr>
          <w:rFonts w:asciiTheme="majorHAnsi" w:hAnsiTheme="majorHAnsi" w:cstheme="majorHAnsi"/>
        </w:rPr>
        <w:t>’</w:t>
      </w:r>
      <w:r w:rsidR="00E931E0">
        <w:rPr>
          <w:rFonts w:asciiTheme="majorHAnsi" w:hAnsiTheme="majorHAnsi" w:cstheme="majorHAnsi"/>
        </w:rPr>
        <w:t xml:space="preserve"> verdict</w:t>
      </w:r>
      <w:r w:rsidR="00103CA5">
        <w:rPr>
          <w:rFonts w:asciiTheme="majorHAnsi" w:hAnsiTheme="majorHAnsi" w:cstheme="majorHAnsi"/>
        </w:rPr>
        <w:t xml:space="preserve"> (</w:t>
      </w:r>
      <w:r w:rsidR="00103CA5" w:rsidRPr="00103CA5">
        <w:rPr>
          <w:rFonts w:asciiTheme="majorHAnsi" w:hAnsiTheme="majorHAnsi" w:cstheme="majorHAnsi"/>
        </w:rPr>
        <w:t>Criminal Procedure Act 2009 (Vic) s 276(1)</w:t>
      </w:r>
      <w:r w:rsidR="00E931E0">
        <w:rPr>
          <w:rFonts w:asciiTheme="majorHAnsi" w:hAnsiTheme="majorHAnsi" w:cstheme="majorHAnsi"/>
        </w:rPr>
        <w:t xml:space="preserve">. </w:t>
      </w:r>
      <w:r w:rsidR="00992533">
        <w:rPr>
          <w:rFonts w:asciiTheme="majorHAnsi" w:hAnsiTheme="majorHAnsi" w:cstheme="majorHAnsi"/>
        </w:rPr>
        <w:t>However, even in the circumstance that the court is not satisfied that</w:t>
      </w:r>
      <w:r>
        <w:rPr>
          <w:rFonts w:asciiTheme="majorHAnsi" w:hAnsiTheme="majorHAnsi" w:cstheme="majorHAnsi"/>
        </w:rPr>
        <w:t xml:space="preserve"> </w:t>
      </w:r>
      <w:r w:rsidR="00992533">
        <w:rPr>
          <w:rFonts w:asciiTheme="majorHAnsi" w:hAnsiTheme="majorHAnsi" w:cstheme="majorHAnsi"/>
        </w:rPr>
        <w:t xml:space="preserve">‘beyond reasonable doubt’ was achieved, </w:t>
      </w:r>
      <w:r w:rsidR="001B5393">
        <w:rPr>
          <w:rFonts w:asciiTheme="majorHAnsi" w:hAnsiTheme="majorHAnsi" w:cstheme="majorHAnsi"/>
        </w:rPr>
        <w:t xml:space="preserve">the court has to assess whether there was a </w:t>
      </w:r>
      <w:r w:rsidR="001B5393" w:rsidRPr="004C4BB6">
        <w:rPr>
          <w:rFonts w:asciiTheme="majorHAnsi" w:hAnsiTheme="majorHAnsi" w:cstheme="majorHAnsi"/>
        </w:rPr>
        <w:t>substantial</w:t>
      </w:r>
      <w:r w:rsidR="001B5393">
        <w:rPr>
          <w:rFonts w:asciiTheme="majorHAnsi" w:hAnsiTheme="majorHAnsi" w:cstheme="majorHAnsi"/>
        </w:rPr>
        <w:t xml:space="preserve"> miscarriage of justice.</w:t>
      </w:r>
      <w:r w:rsidR="0059713C">
        <w:rPr>
          <w:rFonts w:asciiTheme="majorHAnsi" w:hAnsiTheme="majorHAnsi" w:cstheme="majorHAnsi"/>
        </w:rPr>
        <w:t xml:space="preserve"> </w:t>
      </w:r>
      <w:r>
        <w:rPr>
          <w:rFonts w:asciiTheme="majorHAnsi" w:hAnsiTheme="majorHAnsi" w:cstheme="majorHAnsi"/>
        </w:rPr>
        <w:t>T</w:t>
      </w:r>
      <w:r w:rsidR="00AA5F89">
        <w:rPr>
          <w:rFonts w:asciiTheme="majorHAnsi" w:hAnsiTheme="majorHAnsi" w:cstheme="majorHAnsi"/>
        </w:rPr>
        <w:t xml:space="preserve">o find what </w:t>
      </w:r>
      <w:r w:rsidR="00DC77A8">
        <w:rPr>
          <w:rFonts w:asciiTheme="majorHAnsi" w:hAnsiTheme="majorHAnsi" w:cstheme="majorHAnsi"/>
        </w:rPr>
        <w:t>accounts for a</w:t>
      </w:r>
      <w:r w:rsidR="00AA5F89">
        <w:rPr>
          <w:rFonts w:asciiTheme="majorHAnsi" w:hAnsiTheme="majorHAnsi" w:cstheme="majorHAnsi"/>
        </w:rPr>
        <w:t xml:space="preserve"> miscarriage of justice,</w:t>
      </w:r>
      <w:r w:rsidR="00DC77A8">
        <w:rPr>
          <w:rFonts w:asciiTheme="majorHAnsi" w:hAnsiTheme="majorHAnsi" w:cstheme="majorHAnsi"/>
        </w:rPr>
        <w:t xml:space="preserve"> reference can be made to </w:t>
      </w:r>
      <w:r w:rsidR="001A2280" w:rsidRPr="00CE0033">
        <w:rPr>
          <w:rFonts w:asciiTheme="majorHAnsi" w:hAnsiTheme="majorHAnsi" w:cstheme="majorHAnsi"/>
          <w:i/>
          <w:iCs/>
        </w:rPr>
        <w:t>Lee v Queen</w:t>
      </w:r>
      <w:r>
        <w:rPr>
          <w:rFonts w:asciiTheme="majorHAnsi" w:hAnsiTheme="majorHAnsi" w:cstheme="majorHAnsi"/>
        </w:rPr>
        <w:t xml:space="preserve"> in which t</w:t>
      </w:r>
      <w:r w:rsidR="00D5197E">
        <w:rPr>
          <w:rFonts w:asciiTheme="majorHAnsi" w:hAnsiTheme="majorHAnsi" w:cstheme="majorHAnsi"/>
        </w:rPr>
        <w:t xml:space="preserve">he High Court </w:t>
      </w:r>
      <w:r w:rsidR="00D32A04">
        <w:rPr>
          <w:rFonts w:asciiTheme="majorHAnsi" w:hAnsiTheme="majorHAnsi" w:cstheme="majorHAnsi"/>
        </w:rPr>
        <w:t>stated that “t</w:t>
      </w:r>
      <w:r w:rsidR="00D32A04" w:rsidRPr="00D32A04">
        <w:rPr>
          <w:rFonts w:asciiTheme="majorHAnsi" w:hAnsiTheme="majorHAnsi" w:cstheme="majorHAnsi"/>
        </w:rPr>
        <w:t>he prosecution should have enquired as to the circumstances in which the evidence came into its possession and alerted the trial judge to the situation, so that steps could be taken to ensure that the trial was not affected</w:t>
      </w:r>
      <w:r w:rsidR="00D32A04">
        <w:rPr>
          <w:rFonts w:asciiTheme="majorHAnsi" w:hAnsiTheme="majorHAnsi" w:cstheme="majorHAnsi"/>
        </w:rPr>
        <w:t xml:space="preserve">.” </w:t>
      </w:r>
      <w:r w:rsidR="00347F06">
        <w:rPr>
          <w:rFonts w:asciiTheme="majorHAnsi" w:hAnsiTheme="majorHAnsi" w:cstheme="majorHAnsi"/>
        </w:rPr>
        <w:t xml:space="preserve">This acts as relevant precedent for former clients of Gobbo as the determination of fact in their respective trials was </w:t>
      </w:r>
      <w:r>
        <w:rPr>
          <w:rFonts w:asciiTheme="majorHAnsi" w:hAnsiTheme="majorHAnsi" w:cstheme="majorHAnsi"/>
        </w:rPr>
        <w:t xml:space="preserve">compromised </w:t>
      </w:r>
      <w:r w:rsidR="00347F06">
        <w:rPr>
          <w:rFonts w:asciiTheme="majorHAnsi" w:hAnsiTheme="majorHAnsi" w:cstheme="majorHAnsi"/>
        </w:rPr>
        <w:t xml:space="preserve">due to the </w:t>
      </w:r>
      <w:r w:rsidR="007F2DA5">
        <w:rPr>
          <w:rFonts w:asciiTheme="majorHAnsi" w:hAnsiTheme="majorHAnsi" w:cstheme="majorHAnsi"/>
        </w:rPr>
        <w:t>prosecution’s</w:t>
      </w:r>
      <w:r w:rsidR="00347F06">
        <w:rPr>
          <w:rFonts w:asciiTheme="majorHAnsi" w:hAnsiTheme="majorHAnsi" w:cstheme="majorHAnsi"/>
        </w:rPr>
        <w:t xml:space="preserve"> case being mounted on </w:t>
      </w:r>
      <w:r w:rsidR="000B1294">
        <w:rPr>
          <w:rFonts w:asciiTheme="majorHAnsi" w:hAnsiTheme="majorHAnsi" w:cstheme="majorHAnsi"/>
        </w:rPr>
        <w:t xml:space="preserve">evidence </w:t>
      </w:r>
      <w:r>
        <w:rPr>
          <w:rFonts w:asciiTheme="majorHAnsi" w:hAnsiTheme="majorHAnsi" w:cstheme="majorHAnsi"/>
        </w:rPr>
        <w:t xml:space="preserve">illegally </w:t>
      </w:r>
      <w:r w:rsidR="000B1294">
        <w:rPr>
          <w:rFonts w:asciiTheme="majorHAnsi" w:hAnsiTheme="majorHAnsi" w:cstheme="majorHAnsi"/>
        </w:rPr>
        <w:t>obtained</w:t>
      </w:r>
      <w:r w:rsidR="000E2BEF">
        <w:rPr>
          <w:rFonts w:asciiTheme="majorHAnsi" w:hAnsiTheme="majorHAnsi" w:cstheme="majorHAnsi"/>
        </w:rPr>
        <w:t xml:space="preserve"> and hidden </w:t>
      </w:r>
      <w:r w:rsidR="000940DB">
        <w:rPr>
          <w:rFonts w:asciiTheme="majorHAnsi" w:hAnsiTheme="majorHAnsi" w:cstheme="majorHAnsi"/>
        </w:rPr>
        <w:t xml:space="preserve">from the trial judge. </w:t>
      </w:r>
      <w:r w:rsidR="00250542">
        <w:rPr>
          <w:rFonts w:asciiTheme="majorHAnsi" w:hAnsiTheme="majorHAnsi" w:cstheme="majorHAnsi"/>
        </w:rPr>
        <w:t>Essentially</w:t>
      </w:r>
      <w:r w:rsidR="008C6641">
        <w:rPr>
          <w:rFonts w:asciiTheme="majorHAnsi" w:hAnsiTheme="majorHAnsi" w:cstheme="majorHAnsi"/>
        </w:rPr>
        <w:t xml:space="preserve">, </w:t>
      </w:r>
      <w:r w:rsidR="008C6641" w:rsidRPr="00250542">
        <w:rPr>
          <w:rFonts w:asciiTheme="majorHAnsi" w:hAnsiTheme="majorHAnsi" w:cstheme="majorHAnsi"/>
          <w:i/>
          <w:iCs/>
        </w:rPr>
        <w:t>Lee v Queen</w:t>
      </w:r>
      <w:r w:rsidR="008C6641">
        <w:rPr>
          <w:rFonts w:asciiTheme="majorHAnsi" w:hAnsiTheme="majorHAnsi" w:cstheme="majorHAnsi"/>
        </w:rPr>
        <w:t xml:space="preserve"> </w:t>
      </w:r>
      <w:r w:rsidR="003764DF">
        <w:rPr>
          <w:rFonts w:asciiTheme="majorHAnsi" w:hAnsiTheme="majorHAnsi" w:cstheme="majorHAnsi"/>
        </w:rPr>
        <w:t xml:space="preserve">highlights the </w:t>
      </w:r>
      <w:r w:rsidR="00AB3217">
        <w:rPr>
          <w:rFonts w:asciiTheme="majorHAnsi" w:hAnsiTheme="majorHAnsi" w:cstheme="majorHAnsi"/>
        </w:rPr>
        <w:t>responsibility</w:t>
      </w:r>
      <w:r w:rsidR="003764DF">
        <w:rPr>
          <w:rFonts w:asciiTheme="majorHAnsi" w:hAnsiTheme="majorHAnsi" w:cstheme="majorHAnsi"/>
        </w:rPr>
        <w:t xml:space="preserve"> of the prosecution to </w:t>
      </w:r>
      <w:r w:rsidR="00523156">
        <w:rPr>
          <w:rFonts w:asciiTheme="majorHAnsi" w:hAnsiTheme="majorHAnsi" w:cstheme="majorHAnsi"/>
        </w:rPr>
        <w:t>present a case relying solely on evidence</w:t>
      </w:r>
      <w:r w:rsidR="00CE09F4">
        <w:rPr>
          <w:rFonts w:asciiTheme="majorHAnsi" w:hAnsiTheme="majorHAnsi" w:cstheme="majorHAnsi"/>
        </w:rPr>
        <w:t xml:space="preserve"> properly adduced</w:t>
      </w:r>
      <w:r w:rsidR="00AB3217">
        <w:rPr>
          <w:rFonts w:asciiTheme="majorHAnsi" w:hAnsiTheme="majorHAnsi" w:cstheme="majorHAnsi"/>
        </w:rPr>
        <w:t>,</w:t>
      </w:r>
      <w:r w:rsidR="00523156">
        <w:rPr>
          <w:rFonts w:asciiTheme="majorHAnsi" w:hAnsiTheme="majorHAnsi" w:cstheme="majorHAnsi"/>
        </w:rPr>
        <w:t xml:space="preserve"> </w:t>
      </w:r>
      <w:r w:rsidR="00843AD3">
        <w:rPr>
          <w:rFonts w:asciiTheme="majorHAnsi" w:hAnsiTheme="majorHAnsi" w:cstheme="majorHAnsi"/>
        </w:rPr>
        <w:t xml:space="preserve">and subsequently, Gobbo’s former clients that have </w:t>
      </w:r>
      <w:r w:rsidR="00A86675">
        <w:rPr>
          <w:rFonts w:asciiTheme="majorHAnsi" w:hAnsiTheme="majorHAnsi" w:cstheme="majorHAnsi"/>
        </w:rPr>
        <w:t xml:space="preserve">been prosecuted utilising information </w:t>
      </w:r>
      <w:r w:rsidR="00CE09F4">
        <w:rPr>
          <w:rFonts w:asciiTheme="majorHAnsi" w:hAnsiTheme="majorHAnsi" w:cstheme="majorHAnsi"/>
        </w:rPr>
        <w:t>improperly provided by</w:t>
      </w:r>
      <w:r w:rsidR="00A86675">
        <w:rPr>
          <w:rFonts w:asciiTheme="majorHAnsi" w:hAnsiTheme="majorHAnsi" w:cstheme="majorHAnsi"/>
        </w:rPr>
        <w:t xml:space="preserve"> Gobbo </w:t>
      </w:r>
      <w:r w:rsidR="00CE09F4">
        <w:rPr>
          <w:rFonts w:asciiTheme="majorHAnsi" w:hAnsiTheme="majorHAnsi" w:cstheme="majorHAnsi"/>
        </w:rPr>
        <w:t xml:space="preserve">may </w:t>
      </w:r>
      <w:r w:rsidR="00AB3217">
        <w:rPr>
          <w:rFonts w:asciiTheme="majorHAnsi" w:hAnsiTheme="majorHAnsi" w:cstheme="majorHAnsi"/>
        </w:rPr>
        <w:t>have the right</w:t>
      </w:r>
      <w:r w:rsidR="00A86675">
        <w:rPr>
          <w:rFonts w:asciiTheme="majorHAnsi" w:hAnsiTheme="majorHAnsi" w:cstheme="majorHAnsi"/>
        </w:rPr>
        <w:t xml:space="preserve"> to an </w:t>
      </w:r>
      <w:r w:rsidR="00CE09F4">
        <w:rPr>
          <w:rFonts w:asciiTheme="majorHAnsi" w:hAnsiTheme="majorHAnsi" w:cstheme="majorHAnsi"/>
        </w:rPr>
        <w:t>acquittal</w:t>
      </w:r>
      <w:r w:rsidR="00C00B81">
        <w:rPr>
          <w:rFonts w:asciiTheme="majorHAnsi" w:hAnsiTheme="majorHAnsi" w:cstheme="majorHAnsi"/>
        </w:rPr>
        <w:t>.</w:t>
      </w:r>
      <w:r w:rsidR="001F3091">
        <w:rPr>
          <w:rFonts w:asciiTheme="majorHAnsi" w:hAnsiTheme="majorHAnsi" w:cstheme="majorHAnsi"/>
        </w:rPr>
        <w:t xml:space="preserve"> </w:t>
      </w:r>
      <w:r w:rsidR="00616538">
        <w:rPr>
          <w:rFonts w:asciiTheme="majorHAnsi" w:hAnsiTheme="majorHAnsi" w:cstheme="majorHAnsi"/>
        </w:rPr>
        <w:t xml:space="preserve">As a general principle, strict adherence to the doctrine of precedent achieves a degree of certainty and protects the rights of participants in legal disputes. That the law is applied consistently and predictably is necessary to fully realise the ‘rule of law’, an accepted component of which is the idea that all are equal before the law. There is a strong argument then for applying precedents like </w:t>
      </w:r>
      <w:r w:rsidR="00616538">
        <w:rPr>
          <w:rFonts w:asciiTheme="majorHAnsi" w:hAnsiTheme="majorHAnsi" w:cstheme="majorHAnsi"/>
          <w:i/>
          <w:iCs/>
        </w:rPr>
        <w:t>Lee v Queen</w:t>
      </w:r>
      <w:r w:rsidR="00616538">
        <w:rPr>
          <w:rFonts w:asciiTheme="majorHAnsi" w:hAnsiTheme="majorHAnsi" w:cstheme="majorHAnsi"/>
        </w:rPr>
        <w:t xml:space="preserve"> </w:t>
      </w:r>
      <w:r w:rsidR="009A50CC">
        <w:rPr>
          <w:rFonts w:asciiTheme="majorHAnsi" w:hAnsiTheme="majorHAnsi" w:cstheme="majorHAnsi"/>
        </w:rPr>
        <w:t xml:space="preserve">to </w:t>
      </w:r>
      <w:proofErr w:type="gramStart"/>
      <w:r w:rsidR="009A50CC">
        <w:rPr>
          <w:rFonts w:asciiTheme="majorHAnsi" w:hAnsiTheme="majorHAnsi" w:cstheme="majorHAnsi"/>
        </w:rPr>
        <w:t>all of</w:t>
      </w:r>
      <w:proofErr w:type="gramEnd"/>
      <w:r w:rsidR="009A50CC">
        <w:rPr>
          <w:rFonts w:asciiTheme="majorHAnsi" w:hAnsiTheme="majorHAnsi" w:cstheme="majorHAnsi"/>
        </w:rPr>
        <w:t xml:space="preserve"> the cases where Gobbo informed on her clients to maintain a sense of certainty that the law is being applied consistently.</w:t>
      </w:r>
      <w:r w:rsidR="00616538">
        <w:rPr>
          <w:rFonts w:asciiTheme="majorHAnsi" w:hAnsiTheme="majorHAnsi" w:cstheme="majorHAnsi"/>
        </w:rPr>
        <w:t xml:space="preserve"> </w:t>
      </w:r>
    </w:p>
    <w:p w14:paraId="2E2D697C" w14:textId="77777777" w:rsidR="007A558B" w:rsidRDefault="007A558B" w:rsidP="00505A0C">
      <w:pPr>
        <w:spacing w:line="360" w:lineRule="auto"/>
        <w:ind w:left="-426" w:right="-619"/>
        <w:jc w:val="both"/>
        <w:rPr>
          <w:rFonts w:asciiTheme="majorHAnsi" w:hAnsiTheme="majorHAnsi" w:cstheme="majorHAnsi"/>
        </w:rPr>
      </w:pPr>
    </w:p>
    <w:p w14:paraId="71B49E0A" w14:textId="74F3E72F" w:rsidR="009A50CC" w:rsidRPr="009A50CC" w:rsidRDefault="009A50CC" w:rsidP="00505A0C">
      <w:pPr>
        <w:spacing w:line="360" w:lineRule="auto"/>
        <w:ind w:left="-426" w:right="-619"/>
        <w:jc w:val="both"/>
        <w:rPr>
          <w:rFonts w:asciiTheme="majorHAnsi" w:hAnsiTheme="majorHAnsi" w:cstheme="majorHAnsi"/>
        </w:rPr>
      </w:pPr>
      <w:r>
        <w:rPr>
          <w:rFonts w:asciiTheme="majorHAnsi" w:hAnsiTheme="majorHAnsi" w:cstheme="majorHAnsi"/>
        </w:rPr>
        <w:t>Additionally</w:t>
      </w:r>
      <w:r w:rsidR="00F96F84">
        <w:rPr>
          <w:rFonts w:asciiTheme="majorHAnsi" w:hAnsiTheme="majorHAnsi" w:cstheme="majorHAnsi"/>
        </w:rPr>
        <w:t xml:space="preserve">, the case </w:t>
      </w:r>
      <w:r w:rsidR="00F96F84" w:rsidRPr="00720110">
        <w:rPr>
          <w:rFonts w:asciiTheme="majorHAnsi" w:hAnsiTheme="majorHAnsi" w:cstheme="majorHAnsi"/>
          <w:i/>
          <w:iCs/>
        </w:rPr>
        <w:t xml:space="preserve">R v </w:t>
      </w:r>
      <w:r w:rsidR="000A2905" w:rsidRPr="00720110">
        <w:rPr>
          <w:rFonts w:asciiTheme="majorHAnsi" w:hAnsiTheme="majorHAnsi" w:cstheme="majorHAnsi"/>
          <w:i/>
          <w:iCs/>
        </w:rPr>
        <w:t xml:space="preserve">Szabo </w:t>
      </w:r>
      <w:r w:rsidR="000A2905">
        <w:rPr>
          <w:rFonts w:asciiTheme="majorHAnsi" w:hAnsiTheme="majorHAnsi" w:cstheme="majorHAnsi"/>
        </w:rPr>
        <w:t>a</w:t>
      </w:r>
      <w:r w:rsidR="00720110">
        <w:rPr>
          <w:rFonts w:asciiTheme="majorHAnsi" w:hAnsiTheme="majorHAnsi" w:cstheme="majorHAnsi"/>
        </w:rPr>
        <w:t>cts as a precedent to</w:t>
      </w:r>
      <w:r w:rsidR="000A2905">
        <w:rPr>
          <w:rFonts w:asciiTheme="majorHAnsi" w:hAnsiTheme="majorHAnsi" w:cstheme="majorHAnsi"/>
        </w:rPr>
        <w:t xml:space="preserve"> asses</w:t>
      </w:r>
      <w:r w:rsidR="00720110">
        <w:rPr>
          <w:rFonts w:asciiTheme="majorHAnsi" w:hAnsiTheme="majorHAnsi" w:cstheme="majorHAnsi"/>
        </w:rPr>
        <w:t xml:space="preserve">s whether Gobbo’s </w:t>
      </w:r>
      <w:r w:rsidR="0050047E">
        <w:rPr>
          <w:rFonts w:asciiTheme="majorHAnsi" w:hAnsiTheme="majorHAnsi" w:cstheme="majorHAnsi"/>
        </w:rPr>
        <w:t xml:space="preserve">intimacy with the prosecution is grounds for an appeal. </w:t>
      </w:r>
      <w:r w:rsidR="00CE09F4">
        <w:rPr>
          <w:rFonts w:asciiTheme="majorHAnsi" w:hAnsiTheme="majorHAnsi" w:cstheme="majorHAnsi"/>
        </w:rPr>
        <w:t xml:space="preserve">In that case, </w:t>
      </w:r>
      <w:r w:rsidR="0050047E">
        <w:rPr>
          <w:rFonts w:asciiTheme="majorHAnsi" w:hAnsiTheme="majorHAnsi" w:cstheme="majorHAnsi"/>
        </w:rPr>
        <w:t>Szabo</w:t>
      </w:r>
      <w:r w:rsidR="00CE09F4">
        <w:rPr>
          <w:rFonts w:asciiTheme="majorHAnsi" w:hAnsiTheme="majorHAnsi" w:cstheme="majorHAnsi"/>
        </w:rPr>
        <w:t>’s</w:t>
      </w:r>
      <w:r w:rsidR="00382503">
        <w:rPr>
          <w:rFonts w:asciiTheme="majorHAnsi" w:hAnsiTheme="majorHAnsi" w:cstheme="majorHAnsi"/>
        </w:rPr>
        <w:t xml:space="preserve"> </w:t>
      </w:r>
      <w:r w:rsidR="002A5B8B">
        <w:rPr>
          <w:rFonts w:asciiTheme="majorHAnsi" w:hAnsiTheme="majorHAnsi" w:cstheme="majorHAnsi"/>
        </w:rPr>
        <w:t>lawyer was in a de facto relationship with the prosecutor</w:t>
      </w:r>
      <w:r w:rsidR="00CE09F4">
        <w:rPr>
          <w:rFonts w:asciiTheme="majorHAnsi" w:hAnsiTheme="majorHAnsi" w:cstheme="majorHAnsi"/>
        </w:rPr>
        <w:t xml:space="preserve">, and although the court </w:t>
      </w:r>
      <w:r w:rsidR="00AB5216">
        <w:rPr>
          <w:rFonts w:asciiTheme="majorHAnsi" w:hAnsiTheme="majorHAnsi" w:cstheme="majorHAnsi"/>
        </w:rPr>
        <w:t xml:space="preserve">found that </w:t>
      </w:r>
      <w:r w:rsidR="00CE09F4">
        <w:rPr>
          <w:rFonts w:asciiTheme="majorHAnsi" w:hAnsiTheme="majorHAnsi" w:cstheme="majorHAnsi"/>
        </w:rPr>
        <w:t>there was</w:t>
      </w:r>
      <w:r w:rsidR="00AB5216">
        <w:rPr>
          <w:rFonts w:asciiTheme="majorHAnsi" w:hAnsiTheme="majorHAnsi" w:cstheme="majorHAnsi"/>
        </w:rPr>
        <w:t xml:space="preserve"> </w:t>
      </w:r>
      <w:r w:rsidR="00AB5216" w:rsidRPr="00AB5216">
        <w:rPr>
          <w:rFonts w:asciiTheme="majorHAnsi" w:hAnsiTheme="majorHAnsi" w:cstheme="majorHAnsi"/>
        </w:rPr>
        <w:t>“not a case of actual injustice</w:t>
      </w:r>
      <w:r w:rsidR="00CE09F4">
        <w:rPr>
          <w:rFonts w:asciiTheme="majorHAnsi" w:hAnsiTheme="majorHAnsi" w:cstheme="majorHAnsi"/>
        </w:rPr>
        <w:t>”, it was held that</w:t>
      </w:r>
      <w:r w:rsidR="00AB5216" w:rsidRPr="00AB5216">
        <w:rPr>
          <w:rFonts w:asciiTheme="majorHAnsi" w:hAnsiTheme="majorHAnsi" w:cstheme="majorHAnsi"/>
        </w:rPr>
        <w:t xml:space="preserve"> </w:t>
      </w:r>
      <w:r w:rsidR="00CE09F4">
        <w:rPr>
          <w:rFonts w:asciiTheme="majorHAnsi" w:hAnsiTheme="majorHAnsi" w:cstheme="majorHAnsi"/>
        </w:rPr>
        <w:t>a</w:t>
      </w:r>
      <w:r w:rsidR="00000DDF">
        <w:rPr>
          <w:rFonts w:asciiTheme="majorHAnsi" w:hAnsiTheme="majorHAnsi" w:cstheme="majorHAnsi"/>
        </w:rPr>
        <w:t xml:space="preserve"> fair</w:t>
      </w:r>
      <w:r w:rsidR="00CE09F4">
        <w:rPr>
          <w:rFonts w:asciiTheme="majorHAnsi" w:hAnsiTheme="majorHAnsi" w:cstheme="majorHAnsi"/>
        </w:rPr>
        <w:t>-</w:t>
      </w:r>
      <w:r w:rsidR="00000DDF">
        <w:rPr>
          <w:rFonts w:asciiTheme="majorHAnsi" w:hAnsiTheme="majorHAnsi" w:cstheme="majorHAnsi"/>
        </w:rPr>
        <w:t>minded</w:t>
      </w:r>
      <w:r w:rsidR="00CE09F4">
        <w:rPr>
          <w:rFonts w:asciiTheme="majorHAnsi" w:hAnsiTheme="majorHAnsi" w:cstheme="majorHAnsi"/>
        </w:rPr>
        <w:t xml:space="preserve"> observer</w:t>
      </w:r>
      <w:r w:rsidR="00000DDF">
        <w:rPr>
          <w:rFonts w:asciiTheme="majorHAnsi" w:hAnsiTheme="majorHAnsi" w:cstheme="majorHAnsi"/>
        </w:rPr>
        <w:t xml:space="preserve"> could come to the </w:t>
      </w:r>
      <w:r w:rsidR="00000DDF" w:rsidRPr="00EB6738">
        <w:rPr>
          <w:rFonts w:asciiTheme="majorHAnsi" w:hAnsiTheme="majorHAnsi" w:cstheme="majorHAnsi"/>
          <w:i/>
          <w:iCs/>
        </w:rPr>
        <w:t>assumption</w:t>
      </w:r>
      <w:r w:rsidR="00000DDF">
        <w:rPr>
          <w:rFonts w:asciiTheme="majorHAnsi" w:hAnsiTheme="majorHAnsi" w:cstheme="majorHAnsi"/>
        </w:rPr>
        <w:t xml:space="preserve"> that there was a miscarriage of justice</w:t>
      </w:r>
      <w:r w:rsidR="00CE09F4">
        <w:rPr>
          <w:rFonts w:asciiTheme="majorHAnsi" w:hAnsiTheme="majorHAnsi" w:cstheme="majorHAnsi"/>
        </w:rPr>
        <w:t xml:space="preserve"> and so the conviction was overturned.</w:t>
      </w:r>
      <w:r w:rsidR="00393CB1">
        <w:rPr>
          <w:rFonts w:asciiTheme="majorHAnsi" w:hAnsiTheme="majorHAnsi" w:cstheme="majorHAnsi"/>
        </w:rPr>
        <w:t xml:space="preserve"> </w:t>
      </w:r>
      <w:r w:rsidR="00176C9C">
        <w:rPr>
          <w:rFonts w:asciiTheme="majorHAnsi" w:hAnsiTheme="majorHAnsi" w:cstheme="majorHAnsi"/>
        </w:rPr>
        <w:t xml:space="preserve">As substantiated by the </w:t>
      </w:r>
      <w:r w:rsidR="00CE09F4">
        <w:rPr>
          <w:rFonts w:asciiTheme="majorHAnsi" w:hAnsiTheme="majorHAnsi" w:cstheme="majorHAnsi"/>
        </w:rPr>
        <w:t>aforementioned precedents</w:t>
      </w:r>
      <w:r w:rsidR="00176C9C">
        <w:rPr>
          <w:rFonts w:asciiTheme="majorHAnsi" w:hAnsiTheme="majorHAnsi" w:cstheme="majorHAnsi"/>
        </w:rPr>
        <w:t xml:space="preserve">, </w:t>
      </w:r>
      <w:r w:rsidR="00BE7AF6">
        <w:rPr>
          <w:rFonts w:asciiTheme="majorHAnsi" w:hAnsiTheme="majorHAnsi" w:cstheme="majorHAnsi"/>
        </w:rPr>
        <w:t xml:space="preserve">the role of the prosecution is to mount a case </w:t>
      </w:r>
      <w:r w:rsidR="00CE09F4">
        <w:rPr>
          <w:rFonts w:asciiTheme="majorHAnsi" w:hAnsiTheme="majorHAnsi" w:cstheme="majorHAnsi"/>
        </w:rPr>
        <w:t>entirely independent of the defence</w:t>
      </w:r>
      <w:r w:rsidR="00BE7AF6">
        <w:rPr>
          <w:rFonts w:asciiTheme="majorHAnsi" w:hAnsiTheme="majorHAnsi" w:cstheme="majorHAnsi"/>
        </w:rPr>
        <w:t>,</w:t>
      </w:r>
      <w:r w:rsidR="00CE09F4">
        <w:rPr>
          <w:rFonts w:asciiTheme="majorHAnsi" w:hAnsiTheme="majorHAnsi" w:cstheme="majorHAnsi"/>
        </w:rPr>
        <w:t xml:space="preserve"> whether in reality or perception.</w:t>
      </w:r>
      <w:r w:rsidR="00BE7AF6">
        <w:rPr>
          <w:rFonts w:asciiTheme="majorHAnsi" w:hAnsiTheme="majorHAnsi" w:cstheme="majorHAnsi"/>
        </w:rPr>
        <w:t xml:space="preserve"> </w:t>
      </w:r>
      <w:r w:rsidR="003B6343">
        <w:rPr>
          <w:rFonts w:asciiTheme="majorHAnsi" w:hAnsiTheme="majorHAnsi" w:cstheme="majorHAnsi"/>
        </w:rPr>
        <w:t xml:space="preserve">If this </w:t>
      </w:r>
      <w:r w:rsidR="00CE09F4">
        <w:rPr>
          <w:rFonts w:asciiTheme="majorHAnsi" w:hAnsiTheme="majorHAnsi" w:cstheme="majorHAnsi"/>
        </w:rPr>
        <w:t>independence is perceivably compromised</w:t>
      </w:r>
      <w:r w:rsidR="003B6343">
        <w:rPr>
          <w:rFonts w:asciiTheme="majorHAnsi" w:hAnsiTheme="majorHAnsi" w:cstheme="majorHAnsi"/>
        </w:rPr>
        <w:t xml:space="preserve">, then the defence </w:t>
      </w:r>
      <w:r w:rsidR="00CE09F4">
        <w:rPr>
          <w:rFonts w:asciiTheme="majorHAnsi" w:hAnsiTheme="majorHAnsi" w:cstheme="majorHAnsi"/>
        </w:rPr>
        <w:t xml:space="preserve">has </w:t>
      </w:r>
      <w:r w:rsidR="003B6343">
        <w:rPr>
          <w:rFonts w:asciiTheme="majorHAnsi" w:hAnsiTheme="majorHAnsi" w:cstheme="majorHAnsi"/>
        </w:rPr>
        <w:t xml:space="preserve">the obligation to inform </w:t>
      </w:r>
      <w:r w:rsidR="00CE09F4">
        <w:rPr>
          <w:rFonts w:asciiTheme="majorHAnsi" w:hAnsiTheme="majorHAnsi" w:cstheme="majorHAnsi"/>
        </w:rPr>
        <w:t xml:space="preserve">the </w:t>
      </w:r>
      <w:r w:rsidR="003B6343">
        <w:rPr>
          <w:rFonts w:asciiTheme="majorHAnsi" w:hAnsiTheme="majorHAnsi" w:cstheme="majorHAnsi"/>
        </w:rPr>
        <w:t>client of th</w:t>
      </w:r>
      <w:r w:rsidR="00CE09F4">
        <w:rPr>
          <w:rFonts w:asciiTheme="majorHAnsi" w:hAnsiTheme="majorHAnsi" w:cstheme="majorHAnsi"/>
        </w:rPr>
        <w:t xml:space="preserve">e </w:t>
      </w:r>
      <w:r w:rsidR="003B6343">
        <w:rPr>
          <w:rFonts w:asciiTheme="majorHAnsi" w:hAnsiTheme="majorHAnsi" w:cstheme="majorHAnsi"/>
        </w:rPr>
        <w:t>relationship</w:t>
      </w:r>
      <w:r w:rsidR="00CE09F4">
        <w:rPr>
          <w:rFonts w:asciiTheme="majorHAnsi" w:hAnsiTheme="majorHAnsi" w:cstheme="majorHAnsi"/>
        </w:rPr>
        <w:t>.</w:t>
      </w:r>
      <w:r w:rsidR="003B6343">
        <w:rPr>
          <w:rFonts w:asciiTheme="majorHAnsi" w:hAnsiTheme="majorHAnsi" w:cstheme="majorHAnsi"/>
        </w:rPr>
        <w:t xml:space="preserve"> </w:t>
      </w:r>
      <w:r w:rsidR="00A77A3F">
        <w:rPr>
          <w:rFonts w:asciiTheme="majorHAnsi" w:hAnsiTheme="majorHAnsi" w:cstheme="majorHAnsi"/>
        </w:rPr>
        <w:t xml:space="preserve">Gobbo’s </w:t>
      </w:r>
      <w:r w:rsidR="00BD5D82">
        <w:rPr>
          <w:rFonts w:asciiTheme="majorHAnsi" w:hAnsiTheme="majorHAnsi" w:cstheme="majorHAnsi"/>
        </w:rPr>
        <w:t xml:space="preserve">correspondence with the prosecution aided </w:t>
      </w:r>
      <w:r w:rsidR="00F36AEA">
        <w:rPr>
          <w:rFonts w:asciiTheme="majorHAnsi" w:hAnsiTheme="majorHAnsi" w:cstheme="majorHAnsi"/>
        </w:rPr>
        <w:t xml:space="preserve">multiple </w:t>
      </w:r>
      <w:r w:rsidR="00BD5D82">
        <w:rPr>
          <w:rFonts w:asciiTheme="majorHAnsi" w:hAnsiTheme="majorHAnsi" w:cstheme="majorHAnsi"/>
        </w:rPr>
        <w:t>case</w:t>
      </w:r>
      <w:r w:rsidR="00F36AEA">
        <w:rPr>
          <w:rFonts w:asciiTheme="majorHAnsi" w:hAnsiTheme="majorHAnsi" w:cstheme="majorHAnsi"/>
        </w:rPr>
        <w:t xml:space="preserve">s </w:t>
      </w:r>
      <w:r w:rsidR="00CE09F4">
        <w:rPr>
          <w:rFonts w:asciiTheme="majorHAnsi" w:hAnsiTheme="majorHAnsi" w:cstheme="majorHAnsi"/>
        </w:rPr>
        <w:t xml:space="preserve">and </w:t>
      </w:r>
      <w:r w:rsidR="00F36AEA">
        <w:rPr>
          <w:rFonts w:asciiTheme="majorHAnsi" w:hAnsiTheme="majorHAnsi" w:cstheme="majorHAnsi"/>
        </w:rPr>
        <w:t>utilising the information provided amongst</w:t>
      </w:r>
      <w:r w:rsidR="00BD5D82">
        <w:rPr>
          <w:rFonts w:asciiTheme="majorHAnsi" w:hAnsiTheme="majorHAnsi" w:cstheme="majorHAnsi"/>
        </w:rPr>
        <w:t xml:space="preserve"> </w:t>
      </w:r>
      <w:r w:rsidR="00991CD2">
        <w:rPr>
          <w:rFonts w:asciiTheme="majorHAnsi" w:hAnsiTheme="majorHAnsi" w:cstheme="majorHAnsi"/>
        </w:rPr>
        <w:t xml:space="preserve">more than 5000 written reports </w:t>
      </w:r>
      <w:r w:rsidR="00F36AEA">
        <w:rPr>
          <w:rFonts w:asciiTheme="majorHAnsi" w:hAnsiTheme="majorHAnsi" w:cstheme="majorHAnsi"/>
        </w:rPr>
        <w:t xml:space="preserve">from her information over a </w:t>
      </w:r>
      <w:r w:rsidR="00763321">
        <w:rPr>
          <w:rFonts w:asciiTheme="majorHAnsi" w:hAnsiTheme="majorHAnsi" w:cstheme="majorHAnsi"/>
        </w:rPr>
        <w:t>five-year</w:t>
      </w:r>
      <w:r w:rsidR="00F36AEA">
        <w:rPr>
          <w:rFonts w:asciiTheme="majorHAnsi" w:hAnsiTheme="majorHAnsi" w:cstheme="majorHAnsi"/>
        </w:rPr>
        <w:t xml:space="preserve"> period (ABC, 2020). </w:t>
      </w:r>
      <w:r w:rsidR="00FC79C0">
        <w:rPr>
          <w:rFonts w:asciiTheme="majorHAnsi" w:hAnsiTheme="majorHAnsi" w:cstheme="majorHAnsi"/>
        </w:rPr>
        <w:t>As such, the Crown obtained this information unbeknownst to the defendant</w:t>
      </w:r>
      <w:r w:rsidR="00763321">
        <w:rPr>
          <w:rFonts w:asciiTheme="majorHAnsi" w:hAnsiTheme="majorHAnsi" w:cstheme="majorHAnsi"/>
        </w:rPr>
        <w:t xml:space="preserve">, </w:t>
      </w:r>
      <w:r w:rsidR="00AB564A">
        <w:rPr>
          <w:rFonts w:asciiTheme="majorHAnsi" w:hAnsiTheme="majorHAnsi" w:cstheme="majorHAnsi"/>
        </w:rPr>
        <w:t xml:space="preserve">subsequently </w:t>
      </w:r>
      <w:r w:rsidR="00763321">
        <w:rPr>
          <w:rFonts w:asciiTheme="majorHAnsi" w:hAnsiTheme="majorHAnsi" w:cstheme="majorHAnsi"/>
        </w:rPr>
        <w:t>blurring the distinction between the prosecution and defence roles</w:t>
      </w:r>
      <w:r w:rsidR="00AB564A">
        <w:rPr>
          <w:rFonts w:asciiTheme="majorHAnsi" w:hAnsiTheme="majorHAnsi" w:cstheme="majorHAnsi"/>
        </w:rPr>
        <w:t xml:space="preserve"> and undermining the fundamental principles of the </w:t>
      </w:r>
      <w:r w:rsidR="000E133A">
        <w:rPr>
          <w:rFonts w:asciiTheme="majorHAnsi" w:hAnsiTheme="majorHAnsi" w:cstheme="majorHAnsi"/>
        </w:rPr>
        <w:t>c</w:t>
      </w:r>
      <w:r w:rsidR="00AB564A">
        <w:rPr>
          <w:rFonts w:asciiTheme="majorHAnsi" w:hAnsiTheme="majorHAnsi" w:cstheme="majorHAnsi"/>
        </w:rPr>
        <w:t xml:space="preserve">riminal </w:t>
      </w:r>
      <w:r w:rsidR="000E133A">
        <w:rPr>
          <w:rFonts w:asciiTheme="majorHAnsi" w:hAnsiTheme="majorHAnsi" w:cstheme="majorHAnsi"/>
        </w:rPr>
        <w:t>j</w:t>
      </w:r>
      <w:r w:rsidR="00AB564A">
        <w:rPr>
          <w:rFonts w:asciiTheme="majorHAnsi" w:hAnsiTheme="majorHAnsi" w:cstheme="majorHAnsi"/>
        </w:rPr>
        <w:t xml:space="preserve">ustice </w:t>
      </w:r>
      <w:r w:rsidR="000E133A">
        <w:rPr>
          <w:rFonts w:asciiTheme="majorHAnsi" w:hAnsiTheme="majorHAnsi" w:cstheme="majorHAnsi"/>
        </w:rPr>
        <w:t>s</w:t>
      </w:r>
      <w:r w:rsidR="00AB564A">
        <w:rPr>
          <w:rFonts w:asciiTheme="majorHAnsi" w:hAnsiTheme="majorHAnsi" w:cstheme="majorHAnsi"/>
        </w:rPr>
        <w:t xml:space="preserve">ystem. </w:t>
      </w:r>
      <w:r w:rsidR="00CB6DF5">
        <w:rPr>
          <w:rFonts w:asciiTheme="majorHAnsi" w:hAnsiTheme="majorHAnsi" w:cstheme="majorHAnsi"/>
        </w:rPr>
        <w:t xml:space="preserve">Correspondingly, Gobbo’s professional and </w:t>
      </w:r>
      <w:r w:rsidR="00644D20">
        <w:rPr>
          <w:rFonts w:asciiTheme="majorHAnsi" w:hAnsiTheme="majorHAnsi" w:cstheme="majorHAnsi"/>
        </w:rPr>
        <w:t xml:space="preserve">intimate </w:t>
      </w:r>
      <w:r w:rsidR="00644D20">
        <w:rPr>
          <w:rFonts w:asciiTheme="majorHAnsi" w:hAnsiTheme="majorHAnsi" w:cstheme="majorHAnsi"/>
        </w:rPr>
        <w:lastRenderedPageBreak/>
        <w:t xml:space="preserve">relationship </w:t>
      </w:r>
      <w:r w:rsidR="006E4D86">
        <w:rPr>
          <w:rFonts w:asciiTheme="majorHAnsi" w:hAnsiTheme="majorHAnsi" w:cstheme="majorHAnsi"/>
        </w:rPr>
        <w:t xml:space="preserve">with </w:t>
      </w:r>
      <w:r w:rsidR="00505A0C" w:rsidRPr="00505A0C">
        <w:rPr>
          <w:rFonts w:asciiTheme="majorHAnsi" w:hAnsiTheme="majorHAnsi" w:cstheme="majorHAnsi"/>
        </w:rPr>
        <w:t>Detective Senior Sergeant Argall</w:t>
      </w:r>
      <w:r w:rsidR="00505A0C">
        <w:rPr>
          <w:rFonts w:asciiTheme="majorHAnsi" w:hAnsiTheme="majorHAnsi" w:cstheme="majorHAnsi"/>
        </w:rPr>
        <w:t xml:space="preserve"> was undisclosed </w:t>
      </w:r>
      <w:r w:rsidR="00B8277D">
        <w:rPr>
          <w:rFonts w:asciiTheme="majorHAnsi" w:hAnsiTheme="majorHAnsi" w:cstheme="majorHAnsi"/>
        </w:rPr>
        <w:t>despite Argall being the detective to initially sign Gobbo as an informant</w:t>
      </w:r>
      <w:r w:rsidR="00971EC5">
        <w:rPr>
          <w:rFonts w:asciiTheme="majorHAnsi" w:hAnsiTheme="majorHAnsi" w:cstheme="majorHAnsi"/>
        </w:rPr>
        <w:t xml:space="preserve"> (</w:t>
      </w:r>
      <w:proofErr w:type="spellStart"/>
      <w:r w:rsidR="00971EC5">
        <w:rPr>
          <w:rFonts w:asciiTheme="majorHAnsi" w:hAnsiTheme="majorHAnsi" w:cstheme="majorHAnsi"/>
        </w:rPr>
        <w:t>Farsworth</w:t>
      </w:r>
      <w:proofErr w:type="spellEnd"/>
      <w:r w:rsidR="00394E91">
        <w:rPr>
          <w:rFonts w:asciiTheme="majorHAnsi" w:hAnsiTheme="majorHAnsi" w:cstheme="majorHAnsi"/>
        </w:rPr>
        <w:t>, 2019)</w:t>
      </w:r>
      <w:r w:rsidR="00B8277D">
        <w:rPr>
          <w:rFonts w:asciiTheme="majorHAnsi" w:hAnsiTheme="majorHAnsi" w:cstheme="majorHAnsi"/>
        </w:rPr>
        <w:t xml:space="preserve">. </w:t>
      </w:r>
      <w:r w:rsidR="00161FCE">
        <w:rPr>
          <w:rFonts w:asciiTheme="majorHAnsi" w:hAnsiTheme="majorHAnsi" w:cstheme="majorHAnsi"/>
        </w:rPr>
        <w:t xml:space="preserve">Given their intimacy it would uprise the suspicion </w:t>
      </w:r>
      <w:r w:rsidR="000E133A">
        <w:rPr>
          <w:rFonts w:asciiTheme="majorHAnsi" w:hAnsiTheme="majorHAnsi" w:cstheme="majorHAnsi"/>
        </w:rPr>
        <w:t>of</w:t>
      </w:r>
      <w:r w:rsidR="00161FCE">
        <w:rPr>
          <w:rFonts w:asciiTheme="majorHAnsi" w:hAnsiTheme="majorHAnsi" w:cstheme="majorHAnsi"/>
        </w:rPr>
        <w:t xml:space="preserve"> a</w:t>
      </w:r>
      <w:r w:rsidR="0051034E">
        <w:rPr>
          <w:rFonts w:asciiTheme="majorHAnsi" w:hAnsiTheme="majorHAnsi" w:cstheme="majorHAnsi"/>
        </w:rPr>
        <w:t>n ordinary fair-minded observer that it interfered with a fair trial</w:t>
      </w:r>
      <w:r w:rsidR="000E133A">
        <w:rPr>
          <w:rFonts w:asciiTheme="majorHAnsi" w:hAnsiTheme="majorHAnsi" w:cstheme="majorHAnsi"/>
        </w:rPr>
        <w:t xml:space="preserve">, amounting to </w:t>
      </w:r>
      <w:r w:rsidR="000012D4">
        <w:rPr>
          <w:rFonts w:asciiTheme="majorHAnsi" w:hAnsiTheme="majorHAnsi" w:cstheme="majorHAnsi"/>
        </w:rPr>
        <w:t>“substantial miscarriage of justice.”</w:t>
      </w:r>
      <w:r w:rsidR="00324097">
        <w:rPr>
          <w:rFonts w:asciiTheme="majorHAnsi" w:hAnsiTheme="majorHAnsi" w:cstheme="majorHAnsi"/>
        </w:rPr>
        <w:t xml:space="preserve"> </w:t>
      </w:r>
      <w:r>
        <w:rPr>
          <w:rFonts w:asciiTheme="majorHAnsi" w:hAnsiTheme="majorHAnsi" w:cstheme="majorHAnsi"/>
        </w:rPr>
        <w:t xml:space="preserve">The interrelationship between </w:t>
      </w:r>
      <w:r>
        <w:rPr>
          <w:rFonts w:asciiTheme="majorHAnsi" w:hAnsiTheme="majorHAnsi" w:cstheme="majorHAnsi"/>
          <w:i/>
          <w:iCs/>
        </w:rPr>
        <w:t>rights</w:t>
      </w:r>
      <w:r>
        <w:rPr>
          <w:rFonts w:asciiTheme="majorHAnsi" w:hAnsiTheme="majorHAnsi" w:cstheme="majorHAnsi"/>
        </w:rPr>
        <w:t xml:space="preserve"> and </w:t>
      </w:r>
      <w:r>
        <w:rPr>
          <w:rFonts w:asciiTheme="majorHAnsi" w:hAnsiTheme="majorHAnsi" w:cstheme="majorHAnsi"/>
          <w:i/>
          <w:iCs/>
        </w:rPr>
        <w:t>responsibilities</w:t>
      </w:r>
      <w:r>
        <w:rPr>
          <w:rFonts w:asciiTheme="majorHAnsi" w:hAnsiTheme="majorHAnsi" w:cstheme="majorHAnsi"/>
        </w:rPr>
        <w:t xml:space="preserve"> can be seen here. If the rights of defendants in the criminal justice system are to be upheld, lawyers involved in their dispute – both prosecution and defence – must exercise certain responsibilities. One of the most important responsibilities is to put aside any personal interest that might arise </w:t>
      </w:r>
      <w:proofErr w:type="gramStart"/>
      <w:r>
        <w:rPr>
          <w:rFonts w:asciiTheme="majorHAnsi" w:hAnsiTheme="majorHAnsi" w:cstheme="majorHAnsi"/>
        </w:rPr>
        <w:t>in the course of</w:t>
      </w:r>
      <w:proofErr w:type="gramEnd"/>
      <w:r>
        <w:rPr>
          <w:rFonts w:asciiTheme="majorHAnsi" w:hAnsiTheme="majorHAnsi" w:cstheme="majorHAnsi"/>
        </w:rPr>
        <w:t xml:space="preserve"> acting as a lawyer, to ensure that the rights of the defendant are upheld. Because </w:t>
      </w:r>
      <w:proofErr w:type="gramStart"/>
      <w:r>
        <w:rPr>
          <w:rFonts w:asciiTheme="majorHAnsi" w:hAnsiTheme="majorHAnsi" w:cstheme="majorHAnsi"/>
        </w:rPr>
        <w:t>it would seem that these</w:t>
      </w:r>
      <w:proofErr w:type="gramEnd"/>
      <w:r>
        <w:rPr>
          <w:rFonts w:asciiTheme="majorHAnsi" w:hAnsiTheme="majorHAnsi" w:cstheme="majorHAnsi"/>
        </w:rPr>
        <w:t xml:space="preserve"> responsibilities were not acted upon, many of Gobbo’s former clients may have the right to an acquittal. </w:t>
      </w:r>
    </w:p>
    <w:p w14:paraId="424EA8C1" w14:textId="5EACB8F9" w:rsidR="009F233D" w:rsidRDefault="009F233D" w:rsidP="009A50CC">
      <w:pPr>
        <w:spacing w:line="360" w:lineRule="auto"/>
        <w:ind w:right="-619"/>
        <w:jc w:val="both"/>
        <w:rPr>
          <w:rFonts w:asciiTheme="majorHAnsi" w:hAnsiTheme="majorHAnsi" w:cstheme="majorHAnsi"/>
        </w:rPr>
      </w:pPr>
    </w:p>
    <w:p w14:paraId="70A6FEA1" w14:textId="7432DAD0" w:rsidR="009B2099" w:rsidRDefault="00144FEE" w:rsidP="00B25F1D">
      <w:pPr>
        <w:spacing w:line="360" w:lineRule="auto"/>
        <w:ind w:left="-426" w:right="-619"/>
        <w:jc w:val="both"/>
        <w:rPr>
          <w:rFonts w:asciiTheme="majorHAnsi" w:hAnsiTheme="majorHAnsi" w:cstheme="majorHAnsi"/>
        </w:rPr>
      </w:pPr>
      <w:r>
        <w:rPr>
          <w:rFonts w:asciiTheme="majorHAnsi" w:hAnsiTheme="majorHAnsi" w:cstheme="majorHAnsi"/>
        </w:rPr>
        <w:t>Conversely,</w:t>
      </w:r>
      <w:r w:rsidR="009B5F58">
        <w:rPr>
          <w:rFonts w:asciiTheme="majorHAnsi" w:hAnsiTheme="majorHAnsi" w:cstheme="majorHAnsi"/>
        </w:rPr>
        <w:t xml:space="preserve"> </w:t>
      </w:r>
      <w:r w:rsidR="00475AAF">
        <w:rPr>
          <w:rFonts w:asciiTheme="majorHAnsi" w:hAnsiTheme="majorHAnsi" w:cstheme="majorHAnsi"/>
        </w:rPr>
        <w:t xml:space="preserve">releasing notorious </w:t>
      </w:r>
      <w:r w:rsidR="008B3208">
        <w:rPr>
          <w:rFonts w:asciiTheme="majorHAnsi" w:hAnsiTheme="majorHAnsi" w:cstheme="majorHAnsi"/>
        </w:rPr>
        <w:t>criminals</w:t>
      </w:r>
      <w:r w:rsidR="009A50CC">
        <w:rPr>
          <w:rFonts w:asciiTheme="majorHAnsi" w:hAnsiTheme="majorHAnsi" w:cstheme="majorHAnsi"/>
        </w:rPr>
        <w:t>, at least some of whom must surely be</w:t>
      </w:r>
      <w:r w:rsidR="008B3208">
        <w:rPr>
          <w:rFonts w:asciiTheme="majorHAnsi" w:hAnsiTheme="majorHAnsi" w:cstheme="majorHAnsi"/>
        </w:rPr>
        <w:t xml:space="preserve"> guilty</w:t>
      </w:r>
      <w:r w:rsidR="009A50CC">
        <w:rPr>
          <w:rFonts w:asciiTheme="majorHAnsi" w:hAnsiTheme="majorHAnsi" w:cstheme="majorHAnsi"/>
        </w:rPr>
        <w:t xml:space="preserve"> of the crimes with which they were charged</w:t>
      </w:r>
      <w:r w:rsidR="008B3208">
        <w:rPr>
          <w:rFonts w:asciiTheme="majorHAnsi" w:hAnsiTheme="majorHAnsi" w:cstheme="majorHAnsi"/>
        </w:rPr>
        <w:t>, def</w:t>
      </w:r>
      <w:r w:rsidR="009B5F58">
        <w:rPr>
          <w:rFonts w:asciiTheme="majorHAnsi" w:hAnsiTheme="majorHAnsi" w:cstheme="majorHAnsi"/>
        </w:rPr>
        <w:t>ies</w:t>
      </w:r>
      <w:r w:rsidR="008B3208">
        <w:rPr>
          <w:rFonts w:asciiTheme="majorHAnsi" w:hAnsiTheme="majorHAnsi" w:cstheme="majorHAnsi"/>
        </w:rPr>
        <w:t xml:space="preserve"> the aim to protect society and maintain social cohesion. </w:t>
      </w:r>
      <w:r>
        <w:rPr>
          <w:rFonts w:asciiTheme="majorHAnsi" w:hAnsiTheme="majorHAnsi" w:cstheme="majorHAnsi"/>
        </w:rPr>
        <w:t xml:space="preserve">Currently the prosecution has identified twenty-two former clients who are supposedly eligible for an appeal, whilst Gobbo claims there </w:t>
      </w:r>
      <w:r w:rsidR="000E133A">
        <w:rPr>
          <w:rFonts w:asciiTheme="majorHAnsi" w:hAnsiTheme="majorHAnsi" w:cstheme="majorHAnsi"/>
        </w:rPr>
        <w:t>were</w:t>
      </w:r>
      <w:r>
        <w:rPr>
          <w:rFonts w:asciiTheme="majorHAnsi" w:hAnsiTheme="majorHAnsi" w:cstheme="majorHAnsi"/>
        </w:rPr>
        <w:t xml:space="preserve"> 386 people convicted utilising her information (</w:t>
      </w:r>
      <w:r w:rsidR="00427666">
        <w:rPr>
          <w:rFonts w:asciiTheme="majorHAnsi" w:hAnsiTheme="majorHAnsi" w:cstheme="majorHAnsi"/>
        </w:rPr>
        <w:t>Houston</w:t>
      </w:r>
      <w:r>
        <w:rPr>
          <w:rFonts w:asciiTheme="majorHAnsi" w:hAnsiTheme="majorHAnsi" w:cstheme="majorHAnsi"/>
        </w:rPr>
        <w:t xml:space="preserve">, 2019). </w:t>
      </w:r>
      <w:r w:rsidR="000C465C">
        <w:rPr>
          <w:rFonts w:asciiTheme="majorHAnsi" w:hAnsiTheme="majorHAnsi" w:cstheme="majorHAnsi"/>
        </w:rPr>
        <w:t xml:space="preserve">Two of Gobbo’s prominent former clients are </w:t>
      </w:r>
      <w:r w:rsidR="0078274C">
        <w:rPr>
          <w:rFonts w:asciiTheme="majorHAnsi" w:hAnsiTheme="majorHAnsi" w:cstheme="majorHAnsi"/>
        </w:rPr>
        <w:t>Antonis (Tony)</w:t>
      </w:r>
      <w:r w:rsidR="000C465C">
        <w:rPr>
          <w:rFonts w:asciiTheme="majorHAnsi" w:hAnsiTheme="majorHAnsi" w:cstheme="majorHAnsi"/>
        </w:rPr>
        <w:t xml:space="preserve"> </w:t>
      </w:r>
      <w:proofErr w:type="spellStart"/>
      <w:r w:rsidR="000C465C">
        <w:rPr>
          <w:rFonts w:asciiTheme="majorHAnsi" w:hAnsiTheme="majorHAnsi" w:cstheme="majorHAnsi"/>
        </w:rPr>
        <w:t>Mokbel</w:t>
      </w:r>
      <w:proofErr w:type="spellEnd"/>
      <w:r w:rsidR="000C465C">
        <w:rPr>
          <w:rFonts w:asciiTheme="majorHAnsi" w:hAnsiTheme="majorHAnsi" w:cstheme="majorHAnsi"/>
        </w:rPr>
        <w:t xml:space="preserve"> and Carl Williams who were both convicted drug traffickers and Gangland figures. </w:t>
      </w:r>
      <w:proofErr w:type="spellStart"/>
      <w:r w:rsidR="0008341B">
        <w:rPr>
          <w:rFonts w:asciiTheme="majorHAnsi" w:hAnsiTheme="majorHAnsi" w:cstheme="majorHAnsi"/>
        </w:rPr>
        <w:t>Mokbel</w:t>
      </w:r>
      <w:proofErr w:type="spellEnd"/>
      <w:r w:rsidR="0008341B">
        <w:rPr>
          <w:rFonts w:asciiTheme="majorHAnsi" w:hAnsiTheme="majorHAnsi" w:cstheme="majorHAnsi"/>
        </w:rPr>
        <w:t xml:space="preserve"> was responsible for </w:t>
      </w:r>
      <w:r w:rsidR="00AB078F">
        <w:rPr>
          <w:rFonts w:asciiTheme="majorHAnsi" w:hAnsiTheme="majorHAnsi" w:cstheme="majorHAnsi"/>
        </w:rPr>
        <w:t>The Company</w:t>
      </w:r>
      <w:r w:rsidR="00774069">
        <w:rPr>
          <w:rFonts w:asciiTheme="majorHAnsi" w:hAnsiTheme="majorHAnsi" w:cstheme="majorHAnsi"/>
        </w:rPr>
        <w:t xml:space="preserve"> </w:t>
      </w:r>
      <w:proofErr w:type="gramStart"/>
      <w:r w:rsidR="00774069">
        <w:rPr>
          <w:rFonts w:asciiTheme="majorHAnsi" w:hAnsiTheme="majorHAnsi" w:cstheme="majorHAnsi"/>
        </w:rPr>
        <w:t xml:space="preserve">– </w:t>
      </w:r>
      <w:r w:rsidR="00AB078F">
        <w:rPr>
          <w:rFonts w:asciiTheme="majorHAnsi" w:hAnsiTheme="majorHAnsi" w:cstheme="majorHAnsi"/>
        </w:rPr>
        <w:t xml:space="preserve"> a</w:t>
      </w:r>
      <w:proofErr w:type="gramEnd"/>
      <w:r w:rsidR="00AB078F">
        <w:rPr>
          <w:rFonts w:asciiTheme="majorHAnsi" w:hAnsiTheme="majorHAnsi" w:cstheme="majorHAnsi"/>
        </w:rPr>
        <w:t xml:space="preserve"> drug syndicate </w:t>
      </w:r>
      <w:r w:rsidR="000D0634">
        <w:rPr>
          <w:rFonts w:asciiTheme="majorHAnsi" w:hAnsiTheme="majorHAnsi" w:cstheme="majorHAnsi"/>
        </w:rPr>
        <w:t xml:space="preserve">exporting billions of </w:t>
      </w:r>
      <w:proofErr w:type="spellStart"/>
      <w:r w:rsidR="000C2F23">
        <w:rPr>
          <w:rFonts w:asciiTheme="majorHAnsi" w:hAnsiTheme="majorHAnsi" w:cstheme="majorHAnsi"/>
        </w:rPr>
        <w:t>dollar’s worth</w:t>
      </w:r>
      <w:proofErr w:type="spellEnd"/>
      <w:r w:rsidR="000D0634">
        <w:rPr>
          <w:rFonts w:asciiTheme="majorHAnsi" w:hAnsiTheme="majorHAnsi" w:cstheme="majorHAnsi"/>
        </w:rPr>
        <w:t xml:space="preserve"> of drugs, specifically cocaine</w:t>
      </w:r>
      <w:r w:rsidR="007A558B">
        <w:rPr>
          <w:rFonts w:asciiTheme="majorHAnsi" w:hAnsiTheme="majorHAnsi" w:cstheme="majorHAnsi"/>
        </w:rPr>
        <w:t>, speed</w:t>
      </w:r>
      <w:r w:rsidR="000D0634">
        <w:rPr>
          <w:rFonts w:asciiTheme="majorHAnsi" w:hAnsiTheme="majorHAnsi" w:cstheme="majorHAnsi"/>
        </w:rPr>
        <w:t xml:space="preserve"> and </w:t>
      </w:r>
      <w:r w:rsidR="000C2F23">
        <w:rPr>
          <w:rFonts w:asciiTheme="majorHAnsi" w:hAnsiTheme="majorHAnsi" w:cstheme="majorHAnsi"/>
        </w:rPr>
        <w:t>ecstasy</w:t>
      </w:r>
      <w:r w:rsidR="000D0634">
        <w:rPr>
          <w:rFonts w:asciiTheme="majorHAnsi" w:hAnsiTheme="majorHAnsi" w:cstheme="majorHAnsi"/>
        </w:rPr>
        <w:t xml:space="preserve"> </w:t>
      </w:r>
      <w:r w:rsidR="00E10A82">
        <w:rPr>
          <w:rFonts w:asciiTheme="majorHAnsi" w:hAnsiTheme="majorHAnsi" w:cstheme="majorHAnsi"/>
        </w:rPr>
        <w:t>(ABC, 2019).</w:t>
      </w:r>
      <w:r w:rsidR="00726943">
        <w:rPr>
          <w:rFonts w:asciiTheme="majorHAnsi" w:hAnsiTheme="majorHAnsi" w:cstheme="majorHAnsi"/>
        </w:rPr>
        <w:t xml:space="preserve"> </w:t>
      </w:r>
      <w:r w:rsidR="00E677CF">
        <w:rPr>
          <w:rFonts w:asciiTheme="majorHAnsi" w:hAnsiTheme="majorHAnsi" w:cstheme="majorHAnsi"/>
        </w:rPr>
        <w:t>Not only was he responsible for drug</w:t>
      </w:r>
      <w:r w:rsidR="00774069">
        <w:rPr>
          <w:rFonts w:asciiTheme="majorHAnsi" w:hAnsiTheme="majorHAnsi" w:cstheme="majorHAnsi"/>
        </w:rPr>
        <w:t xml:space="preserve"> trafficking but</w:t>
      </w:r>
      <w:r w:rsidR="00E677CF">
        <w:rPr>
          <w:rFonts w:asciiTheme="majorHAnsi" w:hAnsiTheme="majorHAnsi" w:cstheme="majorHAnsi"/>
        </w:rPr>
        <w:t xml:space="preserve"> </w:t>
      </w:r>
      <w:r w:rsidR="007B1669">
        <w:rPr>
          <w:rFonts w:asciiTheme="majorHAnsi" w:hAnsiTheme="majorHAnsi" w:cstheme="majorHAnsi"/>
        </w:rPr>
        <w:t xml:space="preserve">multiple informants testified that he employed Carl Williams as a hitman </w:t>
      </w:r>
      <w:r w:rsidR="00D10710">
        <w:rPr>
          <w:rFonts w:asciiTheme="majorHAnsi" w:hAnsiTheme="majorHAnsi" w:cstheme="majorHAnsi"/>
        </w:rPr>
        <w:t xml:space="preserve">(ABC, 2019). </w:t>
      </w:r>
      <w:proofErr w:type="spellStart"/>
      <w:r w:rsidR="0004559D">
        <w:rPr>
          <w:rFonts w:asciiTheme="majorHAnsi" w:hAnsiTheme="majorHAnsi" w:cstheme="majorHAnsi"/>
        </w:rPr>
        <w:t>Mokbel</w:t>
      </w:r>
      <w:proofErr w:type="spellEnd"/>
      <w:r w:rsidR="0004559D">
        <w:rPr>
          <w:rFonts w:asciiTheme="majorHAnsi" w:hAnsiTheme="majorHAnsi" w:cstheme="majorHAnsi"/>
        </w:rPr>
        <w:t xml:space="preserve"> </w:t>
      </w:r>
      <w:r w:rsidR="007732D7">
        <w:rPr>
          <w:rFonts w:asciiTheme="majorHAnsi" w:hAnsiTheme="majorHAnsi" w:cstheme="majorHAnsi"/>
        </w:rPr>
        <w:t xml:space="preserve">is notorious for </w:t>
      </w:r>
      <w:r w:rsidR="007A558B">
        <w:rPr>
          <w:rFonts w:asciiTheme="majorHAnsi" w:hAnsiTheme="majorHAnsi" w:cstheme="majorHAnsi"/>
        </w:rPr>
        <w:t>initiating</w:t>
      </w:r>
      <w:r w:rsidR="007732D7">
        <w:rPr>
          <w:rFonts w:asciiTheme="majorHAnsi" w:hAnsiTheme="majorHAnsi" w:cstheme="majorHAnsi"/>
        </w:rPr>
        <w:t xml:space="preserve"> havoc </w:t>
      </w:r>
      <w:r w:rsidR="006B1C9B">
        <w:rPr>
          <w:rFonts w:asciiTheme="majorHAnsi" w:hAnsiTheme="majorHAnsi" w:cstheme="majorHAnsi"/>
        </w:rPr>
        <w:t>among</w:t>
      </w:r>
      <w:r w:rsidR="007732D7">
        <w:rPr>
          <w:rFonts w:asciiTheme="majorHAnsi" w:hAnsiTheme="majorHAnsi" w:cstheme="majorHAnsi"/>
        </w:rPr>
        <w:t xml:space="preserve"> the streets of Melbourne</w:t>
      </w:r>
      <w:r w:rsidR="006B1C9B">
        <w:rPr>
          <w:rFonts w:asciiTheme="majorHAnsi" w:hAnsiTheme="majorHAnsi" w:cstheme="majorHAnsi"/>
        </w:rPr>
        <w:t xml:space="preserve">, diminishing social cohesion and </w:t>
      </w:r>
      <w:r w:rsidR="007A558B">
        <w:rPr>
          <w:rFonts w:asciiTheme="majorHAnsi" w:hAnsiTheme="majorHAnsi" w:cstheme="majorHAnsi"/>
        </w:rPr>
        <w:t xml:space="preserve">hence, </w:t>
      </w:r>
      <w:r w:rsidR="00774069">
        <w:rPr>
          <w:rFonts w:asciiTheme="majorHAnsi" w:hAnsiTheme="majorHAnsi" w:cstheme="majorHAnsi"/>
        </w:rPr>
        <w:t xml:space="preserve">arguably </w:t>
      </w:r>
      <w:r w:rsidR="006B1C9B">
        <w:rPr>
          <w:rFonts w:asciiTheme="majorHAnsi" w:hAnsiTheme="majorHAnsi" w:cstheme="majorHAnsi"/>
        </w:rPr>
        <w:t>requiring steps as dramatic as those taken by Gobbo</w:t>
      </w:r>
      <w:r w:rsidR="00774069">
        <w:rPr>
          <w:rFonts w:asciiTheme="majorHAnsi" w:hAnsiTheme="majorHAnsi" w:cstheme="majorHAnsi"/>
        </w:rPr>
        <w:t xml:space="preserve"> and the police</w:t>
      </w:r>
      <w:r w:rsidR="006B1C9B">
        <w:rPr>
          <w:rFonts w:asciiTheme="majorHAnsi" w:hAnsiTheme="majorHAnsi" w:cstheme="majorHAnsi"/>
        </w:rPr>
        <w:t xml:space="preserve"> to </w:t>
      </w:r>
      <w:r w:rsidR="00774069">
        <w:rPr>
          <w:rFonts w:asciiTheme="majorHAnsi" w:hAnsiTheme="majorHAnsi" w:cstheme="majorHAnsi"/>
        </w:rPr>
        <w:t xml:space="preserve">stop </w:t>
      </w:r>
      <w:r w:rsidR="006B1C9B">
        <w:rPr>
          <w:rFonts w:asciiTheme="majorHAnsi" w:hAnsiTheme="majorHAnsi" w:cstheme="majorHAnsi"/>
        </w:rPr>
        <w:t xml:space="preserve">him. </w:t>
      </w:r>
      <w:r w:rsidR="003E56BF">
        <w:rPr>
          <w:rFonts w:asciiTheme="majorHAnsi" w:hAnsiTheme="majorHAnsi" w:cstheme="majorHAnsi"/>
        </w:rPr>
        <w:t xml:space="preserve">As a result of Gobbo’s actions, </w:t>
      </w:r>
      <w:r w:rsidR="00774069">
        <w:rPr>
          <w:rFonts w:asciiTheme="majorHAnsi" w:hAnsiTheme="majorHAnsi" w:cstheme="majorHAnsi"/>
        </w:rPr>
        <w:t>i</w:t>
      </w:r>
      <w:r>
        <w:rPr>
          <w:rFonts w:asciiTheme="majorHAnsi" w:hAnsiTheme="majorHAnsi" w:cstheme="majorHAnsi"/>
        </w:rPr>
        <w:t xml:space="preserve">t is feared that notorious and dangerous criminals such as </w:t>
      </w:r>
      <w:proofErr w:type="spellStart"/>
      <w:r>
        <w:rPr>
          <w:rFonts w:asciiTheme="majorHAnsi" w:hAnsiTheme="majorHAnsi" w:cstheme="majorHAnsi"/>
        </w:rPr>
        <w:t>Mokbel</w:t>
      </w:r>
      <w:proofErr w:type="spellEnd"/>
      <w:r>
        <w:rPr>
          <w:rFonts w:asciiTheme="majorHAnsi" w:hAnsiTheme="majorHAnsi" w:cstheme="majorHAnsi"/>
        </w:rPr>
        <w:t xml:space="preserve"> will be released.</w:t>
      </w:r>
      <w:r w:rsidR="00E515A7">
        <w:rPr>
          <w:rFonts w:asciiTheme="majorHAnsi" w:hAnsiTheme="majorHAnsi" w:cstheme="majorHAnsi"/>
        </w:rPr>
        <w:t xml:space="preserve"> It then begs the question of whether maintaining peace and </w:t>
      </w:r>
      <w:r w:rsidR="0072758D">
        <w:rPr>
          <w:rFonts w:asciiTheme="majorHAnsi" w:hAnsiTheme="majorHAnsi" w:cstheme="majorHAnsi"/>
        </w:rPr>
        <w:t xml:space="preserve">eradicating crime off the streets is of upmost importance or whether adhering to a </w:t>
      </w:r>
      <w:r w:rsidR="00774069">
        <w:rPr>
          <w:rFonts w:asciiTheme="majorHAnsi" w:hAnsiTheme="majorHAnsi" w:cstheme="majorHAnsi"/>
        </w:rPr>
        <w:t xml:space="preserve">professional legal </w:t>
      </w:r>
      <w:r w:rsidR="0072758D">
        <w:rPr>
          <w:rFonts w:asciiTheme="majorHAnsi" w:hAnsiTheme="majorHAnsi" w:cstheme="majorHAnsi"/>
        </w:rPr>
        <w:t xml:space="preserve">obligation is </w:t>
      </w:r>
      <w:r w:rsidR="00993C65">
        <w:rPr>
          <w:rFonts w:asciiTheme="majorHAnsi" w:hAnsiTheme="majorHAnsi" w:cstheme="majorHAnsi"/>
        </w:rPr>
        <w:t xml:space="preserve">more favourable? </w:t>
      </w:r>
      <w:r>
        <w:rPr>
          <w:rFonts w:asciiTheme="majorHAnsi" w:hAnsiTheme="majorHAnsi" w:cstheme="majorHAnsi"/>
        </w:rPr>
        <w:t xml:space="preserve"> Many have described Gobbo’s actions as </w:t>
      </w:r>
      <w:r w:rsidR="00774069">
        <w:rPr>
          <w:rFonts w:asciiTheme="majorHAnsi" w:hAnsiTheme="majorHAnsi" w:cstheme="majorHAnsi"/>
        </w:rPr>
        <w:t>‘</w:t>
      </w:r>
      <w:r>
        <w:rPr>
          <w:rFonts w:asciiTheme="majorHAnsi" w:hAnsiTheme="majorHAnsi" w:cstheme="majorHAnsi"/>
        </w:rPr>
        <w:t>Noble Cause Corruption</w:t>
      </w:r>
      <w:r w:rsidR="00774069">
        <w:rPr>
          <w:rFonts w:asciiTheme="majorHAnsi" w:hAnsiTheme="majorHAnsi" w:cstheme="majorHAnsi"/>
        </w:rPr>
        <w:t>’</w:t>
      </w:r>
      <w:r>
        <w:rPr>
          <w:rFonts w:asciiTheme="majorHAnsi" w:hAnsiTheme="majorHAnsi" w:cstheme="majorHAnsi"/>
        </w:rPr>
        <w:t>, where immoral means are taken in order to achieve a desirable result</w:t>
      </w:r>
      <w:r w:rsidR="0045464F">
        <w:rPr>
          <w:rFonts w:asciiTheme="majorHAnsi" w:hAnsiTheme="majorHAnsi" w:cstheme="majorHAnsi"/>
        </w:rPr>
        <w:t xml:space="preserve"> (Wahlquist,2020)</w:t>
      </w:r>
      <w:r>
        <w:rPr>
          <w:rFonts w:asciiTheme="majorHAnsi" w:hAnsiTheme="majorHAnsi" w:cstheme="majorHAnsi"/>
        </w:rPr>
        <w:t xml:space="preserve">.  </w:t>
      </w:r>
      <w:r w:rsidR="00774069">
        <w:rPr>
          <w:rFonts w:asciiTheme="majorHAnsi" w:hAnsiTheme="majorHAnsi" w:cstheme="majorHAnsi"/>
        </w:rPr>
        <w:t>D</w:t>
      </w:r>
      <w:r>
        <w:rPr>
          <w:rFonts w:asciiTheme="majorHAnsi" w:hAnsiTheme="majorHAnsi" w:cstheme="majorHAnsi"/>
        </w:rPr>
        <w:t>etaining people who were perpetrating the Gangland murders</w:t>
      </w:r>
      <w:r w:rsidR="00774069">
        <w:rPr>
          <w:rFonts w:asciiTheme="majorHAnsi" w:hAnsiTheme="majorHAnsi" w:cstheme="majorHAnsi"/>
        </w:rPr>
        <w:t xml:space="preserve">, </w:t>
      </w:r>
      <w:r>
        <w:rPr>
          <w:rFonts w:asciiTheme="majorHAnsi" w:hAnsiTheme="majorHAnsi" w:cstheme="majorHAnsi"/>
        </w:rPr>
        <w:t xml:space="preserve">diffused </w:t>
      </w:r>
      <w:r w:rsidR="00774069">
        <w:rPr>
          <w:rFonts w:asciiTheme="majorHAnsi" w:hAnsiTheme="majorHAnsi" w:cstheme="majorHAnsi"/>
        </w:rPr>
        <w:t>a</w:t>
      </w:r>
      <w:r>
        <w:rPr>
          <w:rFonts w:asciiTheme="majorHAnsi" w:hAnsiTheme="majorHAnsi" w:cstheme="majorHAnsi"/>
        </w:rPr>
        <w:t xml:space="preserve"> ‘war’ that resulted in the deaths of over 30 people</w:t>
      </w:r>
      <w:r w:rsidR="0045464F">
        <w:rPr>
          <w:rFonts w:asciiTheme="majorHAnsi" w:hAnsiTheme="majorHAnsi" w:cstheme="majorHAnsi"/>
        </w:rPr>
        <w:t xml:space="preserve"> (Sutton, 2016)</w:t>
      </w:r>
      <w:r>
        <w:rPr>
          <w:rFonts w:asciiTheme="majorHAnsi" w:hAnsiTheme="majorHAnsi" w:cstheme="majorHAnsi"/>
        </w:rPr>
        <w:t xml:space="preserve">. </w:t>
      </w:r>
      <w:r w:rsidR="008A29ED">
        <w:rPr>
          <w:rFonts w:asciiTheme="majorHAnsi" w:hAnsiTheme="majorHAnsi" w:cstheme="majorHAnsi"/>
        </w:rPr>
        <w:t xml:space="preserve">The commercial distribution by The Company and alike drug syndicates became </w:t>
      </w:r>
      <w:r w:rsidR="003B787F">
        <w:rPr>
          <w:rFonts w:asciiTheme="majorHAnsi" w:hAnsiTheme="majorHAnsi" w:cstheme="majorHAnsi"/>
        </w:rPr>
        <w:t xml:space="preserve">the source of Melbourne’s speed, MDMA and cocaine </w:t>
      </w:r>
      <w:r w:rsidR="00781849">
        <w:rPr>
          <w:rFonts w:asciiTheme="majorHAnsi" w:hAnsiTheme="majorHAnsi" w:cstheme="majorHAnsi"/>
        </w:rPr>
        <w:t xml:space="preserve">possession. </w:t>
      </w:r>
      <w:r w:rsidR="004E008D">
        <w:rPr>
          <w:rFonts w:asciiTheme="majorHAnsi" w:hAnsiTheme="majorHAnsi" w:cstheme="majorHAnsi"/>
        </w:rPr>
        <w:t xml:space="preserve">In a recording </w:t>
      </w:r>
      <w:r w:rsidR="00E15633">
        <w:rPr>
          <w:rFonts w:asciiTheme="majorHAnsi" w:hAnsiTheme="majorHAnsi" w:cstheme="majorHAnsi"/>
        </w:rPr>
        <w:t xml:space="preserve">intercepted by the Police, </w:t>
      </w:r>
      <w:proofErr w:type="spellStart"/>
      <w:r w:rsidR="00E15633">
        <w:rPr>
          <w:rFonts w:asciiTheme="majorHAnsi" w:hAnsiTheme="majorHAnsi" w:cstheme="majorHAnsi"/>
        </w:rPr>
        <w:t>Mokbel</w:t>
      </w:r>
      <w:proofErr w:type="spellEnd"/>
      <w:r w:rsidR="00E15633">
        <w:rPr>
          <w:rFonts w:asciiTheme="majorHAnsi" w:hAnsiTheme="majorHAnsi" w:cstheme="majorHAnsi"/>
        </w:rPr>
        <w:t xml:space="preserve"> was caught “</w:t>
      </w:r>
      <w:r w:rsidR="00E15633" w:rsidRPr="00E15633">
        <w:rPr>
          <w:rFonts w:asciiTheme="majorHAnsi" w:hAnsiTheme="majorHAnsi" w:cstheme="majorHAnsi"/>
        </w:rPr>
        <w:t>telling an associate he had sold one 25kg tub of pseudoephedrine for $500,000 and that he had 21 of them left</w:t>
      </w:r>
      <w:r w:rsidR="00E15633">
        <w:rPr>
          <w:rFonts w:asciiTheme="majorHAnsi" w:hAnsiTheme="majorHAnsi" w:cstheme="majorHAnsi"/>
        </w:rPr>
        <w:t xml:space="preserve">” </w:t>
      </w:r>
      <w:r w:rsidR="00B23CB7">
        <w:rPr>
          <w:rFonts w:asciiTheme="majorHAnsi" w:hAnsiTheme="majorHAnsi" w:cstheme="majorHAnsi"/>
        </w:rPr>
        <w:t>(Moor, 2012). This was having widespread ramifications to all those who obtained the illicit substances due to the distribution orchestrated by the drug syndicates</w:t>
      </w:r>
      <w:r w:rsidR="006B2F5C">
        <w:rPr>
          <w:rFonts w:asciiTheme="majorHAnsi" w:hAnsiTheme="majorHAnsi" w:cstheme="majorHAnsi"/>
        </w:rPr>
        <w:t xml:space="preserve">. </w:t>
      </w:r>
      <w:r w:rsidR="00B23CB7">
        <w:rPr>
          <w:rFonts w:asciiTheme="majorHAnsi" w:hAnsiTheme="majorHAnsi" w:cstheme="majorHAnsi"/>
        </w:rPr>
        <w:t xml:space="preserve"> </w:t>
      </w:r>
      <w:r w:rsidR="00F607E9">
        <w:rPr>
          <w:rFonts w:asciiTheme="majorHAnsi" w:hAnsiTheme="majorHAnsi" w:cstheme="majorHAnsi"/>
        </w:rPr>
        <w:t>Ultimately</w:t>
      </w:r>
      <w:r w:rsidR="00597102">
        <w:rPr>
          <w:rFonts w:asciiTheme="majorHAnsi" w:hAnsiTheme="majorHAnsi" w:cstheme="majorHAnsi"/>
        </w:rPr>
        <w:t xml:space="preserve">, the </w:t>
      </w:r>
      <w:r w:rsidR="005337AD">
        <w:rPr>
          <w:rFonts w:asciiTheme="majorHAnsi" w:hAnsiTheme="majorHAnsi" w:cstheme="majorHAnsi"/>
        </w:rPr>
        <w:t xml:space="preserve">case </w:t>
      </w:r>
      <w:r w:rsidR="005337AD">
        <w:rPr>
          <w:rFonts w:asciiTheme="majorHAnsi" w:hAnsiTheme="majorHAnsi" w:cstheme="majorHAnsi"/>
        </w:rPr>
        <w:lastRenderedPageBreak/>
        <w:t>mounte</w:t>
      </w:r>
      <w:r w:rsidR="006B2F5C">
        <w:rPr>
          <w:rFonts w:asciiTheme="majorHAnsi" w:hAnsiTheme="majorHAnsi" w:cstheme="majorHAnsi"/>
        </w:rPr>
        <w:t xml:space="preserve">d </w:t>
      </w:r>
      <w:r w:rsidR="00F607E9">
        <w:rPr>
          <w:rFonts w:asciiTheme="majorHAnsi" w:hAnsiTheme="majorHAnsi" w:cstheme="majorHAnsi"/>
        </w:rPr>
        <w:t xml:space="preserve">by the prosecution </w:t>
      </w:r>
      <w:r w:rsidR="005337AD">
        <w:rPr>
          <w:rFonts w:asciiTheme="majorHAnsi" w:hAnsiTheme="majorHAnsi" w:cstheme="majorHAnsi"/>
        </w:rPr>
        <w:t xml:space="preserve">satisfied a beyond reasonable doubt </w:t>
      </w:r>
      <w:r w:rsidR="00F607E9">
        <w:rPr>
          <w:rFonts w:asciiTheme="majorHAnsi" w:hAnsiTheme="majorHAnsi" w:cstheme="majorHAnsi"/>
        </w:rPr>
        <w:t>verdict</w:t>
      </w:r>
      <w:r w:rsidR="00DA620B">
        <w:rPr>
          <w:rFonts w:asciiTheme="majorHAnsi" w:hAnsiTheme="majorHAnsi" w:cstheme="majorHAnsi"/>
        </w:rPr>
        <w:t xml:space="preserve">. </w:t>
      </w:r>
      <w:r w:rsidR="00823554">
        <w:rPr>
          <w:rFonts w:asciiTheme="majorHAnsi" w:hAnsiTheme="majorHAnsi" w:cstheme="majorHAnsi"/>
        </w:rPr>
        <w:t xml:space="preserve">Thus, betrayal to the fundamental underpinnings </w:t>
      </w:r>
      <w:r w:rsidR="0065681C">
        <w:rPr>
          <w:rFonts w:asciiTheme="majorHAnsi" w:hAnsiTheme="majorHAnsi" w:cstheme="majorHAnsi"/>
        </w:rPr>
        <w:t xml:space="preserve">of the criminal justice system due </w:t>
      </w:r>
      <w:r w:rsidR="00B25F1D">
        <w:rPr>
          <w:rFonts w:asciiTheme="majorHAnsi" w:hAnsiTheme="majorHAnsi" w:cstheme="majorHAnsi"/>
        </w:rPr>
        <w:t>to</w:t>
      </w:r>
      <w:r w:rsidR="0065681C">
        <w:rPr>
          <w:rFonts w:asciiTheme="majorHAnsi" w:hAnsiTheme="majorHAnsi" w:cstheme="majorHAnsi"/>
        </w:rPr>
        <w:t xml:space="preserve"> </w:t>
      </w:r>
      <w:r w:rsidR="00B25F1D">
        <w:rPr>
          <w:rFonts w:asciiTheme="majorHAnsi" w:hAnsiTheme="majorHAnsi" w:cstheme="majorHAnsi"/>
        </w:rPr>
        <w:t>Gobbo’s</w:t>
      </w:r>
      <w:r w:rsidR="0065681C">
        <w:rPr>
          <w:rFonts w:asciiTheme="majorHAnsi" w:hAnsiTheme="majorHAnsi" w:cstheme="majorHAnsi"/>
        </w:rPr>
        <w:t xml:space="preserve"> deception </w:t>
      </w:r>
      <w:r w:rsidR="00B25F1D">
        <w:rPr>
          <w:rFonts w:asciiTheme="majorHAnsi" w:hAnsiTheme="majorHAnsi" w:cstheme="majorHAnsi"/>
        </w:rPr>
        <w:t>sustained</w:t>
      </w:r>
      <w:r w:rsidR="00AF564E">
        <w:rPr>
          <w:rFonts w:asciiTheme="majorHAnsi" w:hAnsiTheme="majorHAnsi" w:cstheme="majorHAnsi"/>
        </w:rPr>
        <w:t xml:space="preserve"> a</w:t>
      </w:r>
      <w:r w:rsidR="00B25F1D">
        <w:rPr>
          <w:rFonts w:asciiTheme="majorHAnsi" w:hAnsiTheme="majorHAnsi" w:cstheme="majorHAnsi"/>
        </w:rPr>
        <w:t xml:space="preserve"> prosecution</w:t>
      </w:r>
      <w:r w:rsidR="00AF564E">
        <w:rPr>
          <w:rFonts w:asciiTheme="majorHAnsi" w:hAnsiTheme="majorHAnsi" w:cstheme="majorHAnsi"/>
        </w:rPr>
        <w:t xml:space="preserve"> case that h</w:t>
      </w:r>
      <w:r w:rsidR="00B25F1D">
        <w:rPr>
          <w:rFonts w:asciiTheme="majorHAnsi" w:hAnsiTheme="majorHAnsi" w:cstheme="majorHAnsi"/>
        </w:rPr>
        <w:t>eld</w:t>
      </w:r>
      <w:r w:rsidR="00AF564E">
        <w:rPr>
          <w:rFonts w:asciiTheme="majorHAnsi" w:hAnsiTheme="majorHAnsi" w:cstheme="majorHAnsi"/>
        </w:rPr>
        <w:t xml:space="preserve"> </w:t>
      </w:r>
      <w:proofErr w:type="spellStart"/>
      <w:r w:rsidR="00AF564E">
        <w:rPr>
          <w:rFonts w:asciiTheme="majorHAnsi" w:hAnsiTheme="majorHAnsi" w:cstheme="majorHAnsi"/>
        </w:rPr>
        <w:t>Mokbel</w:t>
      </w:r>
      <w:proofErr w:type="spellEnd"/>
      <w:r w:rsidR="00AF564E">
        <w:rPr>
          <w:rFonts w:asciiTheme="majorHAnsi" w:hAnsiTheme="majorHAnsi" w:cstheme="majorHAnsi"/>
        </w:rPr>
        <w:t xml:space="preserve"> and </w:t>
      </w:r>
      <w:r w:rsidR="00E73687">
        <w:rPr>
          <w:rFonts w:asciiTheme="majorHAnsi" w:hAnsiTheme="majorHAnsi" w:cstheme="majorHAnsi"/>
        </w:rPr>
        <w:t xml:space="preserve">other criminals to account for their criminal activity. In summary, the </w:t>
      </w:r>
      <w:r w:rsidR="003C7D37">
        <w:rPr>
          <w:rFonts w:asciiTheme="majorHAnsi" w:hAnsiTheme="majorHAnsi" w:cstheme="majorHAnsi"/>
        </w:rPr>
        <w:t xml:space="preserve">noble cause corruption </w:t>
      </w:r>
      <w:r w:rsidR="00774069">
        <w:rPr>
          <w:rFonts w:asciiTheme="majorHAnsi" w:hAnsiTheme="majorHAnsi" w:cstheme="majorHAnsi"/>
        </w:rPr>
        <w:t>supported</w:t>
      </w:r>
      <w:r w:rsidR="007B403E">
        <w:rPr>
          <w:rFonts w:asciiTheme="majorHAnsi" w:hAnsiTheme="majorHAnsi" w:cstheme="majorHAnsi"/>
        </w:rPr>
        <w:t xml:space="preserve"> social cohesion by</w:t>
      </w:r>
      <w:r w:rsidR="00DA620B">
        <w:rPr>
          <w:rFonts w:asciiTheme="majorHAnsi" w:hAnsiTheme="majorHAnsi" w:cstheme="majorHAnsi"/>
        </w:rPr>
        <w:t xml:space="preserve"> helping bring an</w:t>
      </w:r>
      <w:r w:rsidR="007B403E">
        <w:rPr>
          <w:rFonts w:asciiTheme="majorHAnsi" w:hAnsiTheme="majorHAnsi" w:cstheme="majorHAnsi"/>
        </w:rPr>
        <w:t xml:space="preserve"> </w:t>
      </w:r>
      <w:r w:rsidR="00774069">
        <w:rPr>
          <w:rFonts w:asciiTheme="majorHAnsi" w:hAnsiTheme="majorHAnsi" w:cstheme="majorHAnsi"/>
        </w:rPr>
        <w:t>end</w:t>
      </w:r>
      <w:r w:rsidR="00DA620B">
        <w:rPr>
          <w:rFonts w:asciiTheme="majorHAnsi" w:hAnsiTheme="majorHAnsi" w:cstheme="majorHAnsi"/>
        </w:rPr>
        <w:t xml:space="preserve"> to</w:t>
      </w:r>
      <w:r w:rsidR="00774069">
        <w:rPr>
          <w:rFonts w:asciiTheme="majorHAnsi" w:hAnsiTheme="majorHAnsi" w:cstheme="majorHAnsi"/>
        </w:rPr>
        <w:t xml:space="preserve"> </w:t>
      </w:r>
      <w:r w:rsidR="007B403E">
        <w:rPr>
          <w:rFonts w:asciiTheme="majorHAnsi" w:hAnsiTheme="majorHAnsi" w:cstheme="majorHAnsi"/>
        </w:rPr>
        <w:t xml:space="preserve">the gangland wars and the associated drug syndicates, </w:t>
      </w:r>
      <w:r w:rsidR="00774069">
        <w:rPr>
          <w:rFonts w:asciiTheme="majorHAnsi" w:hAnsiTheme="majorHAnsi" w:cstheme="majorHAnsi"/>
        </w:rPr>
        <w:t xml:space="preserve">and </w:t>
      </w:r>
      <w:r w:rsidR="007B403E">
        <w:rPr>
          <w:rFonts w:asciiTheme="majorHAnsi" w:hAnsiTheme="majorHAnsi" w:cstheme="majorHAnsi"/>
        </w:rPr>
        <w:t xml:space="preserve">hence the acquittal of these criminals </w:t>
      </w:r>
      <w:r w:rsidR="00774069">
        <w:rPr>
          <w:rFonts w:asciiTheme="majorHAnsi" w:hAnsiTheme="majorHAnsi" w:cstheme="majorHAnsi"/>
        </w:rPr>
        <w:t xml:space="preserve">would </w:t>
      </w:r>
      <w:r w:rsidR="00187CF7">
        <w:rPr>
          <w:rFonts w:asciiTheme="majorHAnsi" w:hAnsiTheme="majorHAnsi" w:cstheme="majorHAnsi"/>
        </w:rPr>
        <w:t>counteract the desirable outcome achieved</w:t>
      </w:r>
      <w:r w:rsidR="007B403E">
        <w:rPr>
          <w:rFonts w:asciiTheme="majorHAnsi" w:hAnsiTheme="majorHAnsi" w:cstheme="majorHAnsi"/>
        </w:rPr>
        <w:t>.</w:t>
      </w:r>
      <w:r w:rsidR="00B25F1D">
        <w:rPr>
          <w:rFonts w:asciiTheme="majorHAnsi" w:hAnsiTheme="majorHAnsi" w:cstheme="majorHAnsi"/>
        </w:rPr>
        <w:t xml:space="preserve"> Excusing this instance of ‘noble cause corruption’ would require the law to embrace flexibility over certainty and to prioritise the rights of the wider community over the rights of Gobbo’s former clients to be convicted solely on the basis of admissible, </w:t>
      </w:r>
      <w:proofErr w:type="gramStart"/>
      <w:r w:rsidR="00B25F1D">
        <w:rPr>
          <w:rFonts w:asciiTheme="majorHAnsi" w:hAnsiTheme="majorHAnsi" w:cstheme="majorHAnsi"/>
        </w:rPr>
        <w:t>legally-obtained</w:t>
      </w:r>
      <w:proofErr w:type="gramEnd"/>
      <w:r w:rsidR="00B25F1D">
        <w:rPr>
          <w:rFonts w:asciiTheme="majorHAnsi" w:hAnsiTheme="majorHAnsi" w:cstheme="majorHAnsi"/>
        </w:rPr>
        <w:t xml:space="preserve"> evidence. </w:t>
      </w:r>
    </w:p>
    <w:p w14:paraId="1EA78271" w14:textId="1B43FE9F" w:rsidR="009B2099" w:rsidRDefault="009B2099" w:rsidP="006B2F5C">
      <w:pPr>
        <w:spacing w:line="360" w:lineRule="auto"/>
        <w:ind w:left="-426" w:right="-619"/>
        <w:jc w:val="both"/>
        <w:rPr>
          <w:rFonts w:asciiTheme="majorHAnsi" w:hAnsiTheme="majorHAnsi" w:cstheme="majorHAnsi"/>
        </w:rPr>
      </w:pPr>
    </w:p>
    <w:p w14:paraId="1A8BDDE0" w14:textId="7CF98F3C" w:rsidR="009B2099" w:rsidRDefault="00B349A4" w:rsidP="001B0768">
      <w:pPr>
        <w:spacing w:line="360" w:lineRule="auto"/>
        <w:ind w:left="-426" w:right="-619"/>
        <w:jc w:val="both"/>
        <w:rPr>
          <w:rFonts w:asciiTheme="majorHAnsi" w:hAnsiTheme="majorHAnsi" w:cstheme="majorHAnsi"/>
        </w:rPr>
      </w:pPr>
      <w:r>
        <w:rPr>
          <w:rFonts w:asciiTheme="majorHAnsi" w:hAnsiTheme="majorHAnsi" w:cstheme="majorHAnsi"/>
        </w:rPr>
        <w:t xml:space="preserve">It can be deduced that the </w:t>
      </w:r>
      <w:r w:rsidR="00774069">
        <w:rPr>
          <w:rFonts w:asciiTheme="majorHAnsi" w:hAnsiTheme="majorHAnsi" w:cstheme="majorHAnsi"/>
        </w:rPr>
        <w:t>granting of</w:t>
      </w:r>
      <w:r w:rsidR="00CB4379">
        <w:rPr>
          <w:rFonts w:asciiTheme="majorHAnsi" w:hAnsiTheme="majorHAnsi" w:cstheme="majorHAnsi"/>
        </w:rPr>
        <w:t xml:space="preserve"> acquittals</w:t>
      </w:r>
      <w:r w:rsidR="00774069">
        <w:rPr>
          <w:rFonts w:asciiTheme="majorHAnsi" w:hAnsiTheme="majorHAnsi" w:cstheme="majorHAnsi"/>
        </w:rPr>
        <w:t xml:space="preserve"> for Gobbo’s former clients</w:t>
      </w:r>
      <w:r w:rsidR="00CB4379">
        <w:rPr>
          <w:rFonts w:asciiTheme="majorHAnsi" w:hAnsiTheme="majorHAnsi" w:cstheme="majorHAnsi"/>
        </w:rPr>
        <w:t xml:space="preserve"> is </w:t>
      </w:r>
      <w:r w:rsidR="00EB6738">
        <w:rPr>
          <w:rFonts w:asciiTheme="majorHAnsi" w:hAnsiTheme="majorHAnsi" w:cstheme="majorHAnsi"/>
        </w:rPr>
        <w:t>dependent</w:t>
      </w:r>
      <w:r w:rsidR="00CB4379">
        <w:rPr>
          <w:rFonts w:asciiTheme="majorHAnsi" w:hAnsiTheme="majorHAnsi" w:cstheme="majorHAnsi"/>
        </w:rPr>
        <w:t xml:space="preserve"> on a</w:t>
      </w:r>
      <w:r w:rsidR="00774069">
        <w:rPr>
          <w:rFonts w:asciiTheme="majorHAnsi" w:hAnsiTheme="majorHAnsi" w:cstheme="majorHAnsi"/>
        </w:rPr>
        <w:t>n</w:t>
      </w:r>
      <w:r w:rsidR="00CB4379">
        <w:rPr>
          <w:rFonts w:asciiTheme="majorHAnsi" w:hAnsiTheme="majorHAnsi" w:cstheme="majorHAnsi"/>
        </w:rPr>
        <w:t xml:space="preserve"> assessment of whether Gobbo’s actions </w:t>
      </w:r>
      <w:r w:rsidR="00952AE4">
        <w:rPr>
          <w:rFonts w:asciiTheme="majorHAnsi" w:hAnsiTheme="majorHAnsi" w:cstheme="majorHAnsi"/>
        </w:rPr>
        <w:t>in their respective trial</w:t>
      </w:r>
      <w:r w:rsidR="00774069">
        <w:rPr>
          <w:rFonts w:asciiTheme="majorHAnsi" w:hAnsiTheme="majorHAnsi" w:cstheme="majorHAnsi"/>
        </w:rPr>
        <w:t>s</w:t>
      </w:r>
      <w:r w:rsidR="00952AE4">
        <w:rPr>
          <w:rFonts w:asciiTheme="majorHAnsi" w:hAnsiTheme="majorHAnsi" w:cstheme="majorHAnsi"/>
        </w:rPr>
        <w:t xml:space="preserve"> constituted “a substantial miscarriage of justice”</w:t>
      </w:r>
      <w:r w:rsidR="00524B01">
        <w:rPr>
          <w:rFonts w:asciiTheme="majorHAnsi" w:hAnsiTheme="majorHAnsi" w:cstheme="majorHAnsi"/>
        </w:rPr>
        <w:t xml:space="preserve">. </w:t>
      </w:r>
      <w:r w:rsidR="009A07D7">
        <w:rPr>
          <w:rFonts w:asciiTheme="majorHAnsi" w:hAnsiTheme="majorHAnsi" w:cstheme="majorHAnsi"/>
        </w:rPr>
        <w:t xml:space="preserve">Currently a potential 387 former clients of Gobbo’s are eligible to </w:t>
      </w:r>
      <w:r w:rsidR="0021020E">
        <w:rPr>
          <w:rFonts w:asciiTheme="majorHAnsi" w:hAnsiTheme="majorHAnsi" w:cstheme="majorHAnsi"/>
        </w:rPr>
        <w:t>apply for an appeal</w:t>
      </w:r>
      <w:r w:rsidR="00FD2545">
        <w:rPr>
          <w:rFonts w:asciiTheme="majorHAnsi" w:hAnsiTheme="majorHAnsi" w:cstheme="majorHAnsi"/>
        </w:rPr>
        <w:t xml:space="preserve"> and </w:t>
      </w:r>
      <w:r w:rsidR="00774069">
        <w:rPr>
          <w:rFonts w:asciiTheme="majorHAnsi" w:hAnsiTheme="majorHAnsi" w:cstheme="majorHAnsi"/>
        </w:rPr>
        <w:t xml:space="preserve">some </w:t>
      </w:r>
      <w:r w:rsidR="00FD2545">
        <w:rPr>
          <w:rFonts w:asciiTheme="majorHAnsi" w:hAnsiTheme="majorHAnsi" w:cstheme="majorHAnsi"/>
        </w:rPr>
        <w:t>will meet the requirements to achieve a</w:t>
      </w:r>
      <w:r w:rsidR="00774069">
        <w:rPr>
          <w:rFonts w:asciiTheme="majorHAnsi" w:hAnsiTheme="majorHAnsi" w:cstheme="majorHAnsi"/>
        </w:rPr>
        <w:t>n</w:t>
      </w:r>
      <w:r w:rsidR="00FD2545">
        <w:rPr>
          <w:rFonts w:asciiTheme="majorHAnsi" w:hAnsiTheme="majorHAnsi" w:cstheme="majorHAnsi"/>
        </w:rPr>
        <w:t xml:space="preserve"> acquittal</w:t>
      </w:r>
      <w:r w:rsidR="00207C7E">
        <w:rPr>
          <w:rFonts w:asciiTheme="majorHAnsi" w:hAnsiTheme="majorHAnsi" w:cstheme="majorHAnsi"/>
        </w:rPr>
        <w:t>,</w:t>
      </w:r>
      <w:r w:rsidR="00FD2545">
        <w:rPr>
          <w:rFonts w:asciiTheme="majorHAnsi" w:hAnsiTheme="majorHAnsi" w:cstheme="majorHAnsi"/>
        </w:rPr>
        <w:t xml:space="preserve"> as observed with Frank Orman</w:t>
      </w:r>
      <w:r w:rsidR="007D63EC">
        <w:rPr>
          <w:rFonts w:asciiTheme="majorHAnsi" w:hAnsiTheme="majorHAnsi" w:cstheme="majorHAnsi"/>
        </w:rPr>
        <w:t>’s recent successful appeal</w:t>
      </w:r>
      <w:r w:rsidR="00FD2545">
        <w:rPr>
          <w:rFonts w:asciiTheme="majorHAnsi" w:hAnsiTheme="majorHAnsi" w:cstheme="majorHAnsi"/>
        </w:rPr>
        <w:t xml:space="preserve">. Orman’s conviction was </w:t>
      </w:r>
      <w:r w:rsidR="00774069">
        <w:rPr>
          <w:rFonts w:asciiTheme="majorHAnsi" w:hAnsiTheme="majorHAnsi" w:cstheme="majorHAnsi"/>
        </w:rPr>
        <w:t xml:space="preserve">overturned </w:t>
      </w:r>
      <w:r w:rsidR="005E631D">
        <w:rPr>
          <w:rFonts w:asciiTheme="majorHAnsi" w:hAnsiTheme="majorHAnsi" w:cstheme="majorHAnsi"/>
        </w:rPr>
        <w:t xml:space="preserve">following the </w:t>
      </w:r>
      <w:r w:rsidR="008747B7">
        <w:rPr>
          <w:rFonts w:asciiTheme="majorHAnsi" w:hAnsiTheme="majorHAnsi" w:cstheme="majorHAnsi"/>
        </w:rPr>
        <w:t xml:space="preserve">publication of Gobbo’s role as an informant. </w:t>
      </w:r>
      <w:r w:rsidR="00774069">
        <w:rPr>
          <w:rFonts w:asciiTheme="majorHAnsi" w:hAnsiTheme="majorHAnsi" w:cstheme="majorHAnsi"/>
        </w:rPr>
        <w:t>This</w:t>
      </w:r>
      <w:r w:rsidR="008747B7">
        <w:rPr>
          <w:rFonts w:asciiTheme="majorHAnsi" w:hAnsiTheme="majorHAnsi" w:cstheme="majorHAnsi"/>
        </w:rPr>
        <w:t xml:space="preserve"> acts as a precedent for following cases</w:t>
      </w:r>
      <w:r w:rsidR="0055786D">
        <w:rPr>
          <w:rFonts w:asciiTheme="majorHAnsi" w:hAnsiTheme="majorHAnsi" w:cstheme="majorHAnsi"/>
        </w:rPr>
        <w:t>,</w:t>
      </w:r>
      <w:r w:rsidR="008747B7">
        <w:rPr>
          <w:rFonts w:asciiTheme="majorHAnsi" w:hAnsiTheme="majorHAnsi" w:cstheme="majorHAnsi"/>
        </w:rPr>
        <w:t xml:space="preserve"> however </w:t>
      </w:r>
      <w:r w:rsidR="006929F3">
        <w:rPr>
          <w:rFonts w:asciiTheme="majorHAnsi" w:hAnsiTheme="majorHAnsi" w:cstheme="majorHAnsi"/>
        </w:rPr>
        <w:t xml:space="preserve">the disparity will occur when </w:t>
      </w:r>
      <w:r w:rsidR="00774069">
        <w:rPr>
          <w:rFonts w:asciiTheme="majorHAnsi" w:hAnsiTheme="majorHAnsi" w:cstheme="majorHAnsi"/>
        </w:rPr>
        <w:t>appeal</w:t>
      </w:r>
      <w:r w:rsidR="006929F3">
        <w:rPr>
          <w:rFonts w:asciiTheme="majorHAnsi" w:hAnsiTheme="majorHAnsi" w:cstheme="majorHAnsi"/>
        </w:rPr>
        <w:t xml:space="preserve"> judge </w:t>
      </w:r>
      <w:proofErr w:type="gramStart"/>
      <w:r w:rsidR="006929F3">
        <w:rPr>
          <w:rFonts w:asciiTheme="majorHAnsi" w:hAnsiTheme="majorHAnsi" w:cstheme="majorHAnsi"/>
        </w:rPr>
        <w:t>ha</w:t>
      </w:r>
      <w:r w:rsidR="00774069">
        <w:rPr>
          <w:rFonts w:asciiTheme="majorHAnsi" w:hAnsiTheme="majorHAnsi" w:cstheme="majorHAnsi"/>
        </w:rPr>
        <w:t>ve</w:t>
      </w:r>
      <w:proofErr w:type="gramEnd"/>
      <w:r w:rsidR="006929F3">
        <w:rPr>
          <w:rFonts w:asciiTheme="majorHAnsi" w:hAnsiTheme="majorHAnsi" w:cstheme="majorHAnsi"/>
        </w:rPr>
        <w:t xml:space="preserve"> to assess whether there is sufficient evidence to </w:t>
      </w:r>
      <w:r w:rsidR="00774069">
        <w:rPr>
          <w:rFonts w:asciiTheme="majorHAnsi" w:hAnsiTheme="majorHAnsi" w:cstheme="majorHAnsi"/>
        </w:rPr>
        <w:t>allow a</w:t>
      </w:r>
      <w:r w:rsidR="006929F3">
        <w:rPr>
          <w:rFonts w:asciiTheme="majorHAnsi" w:hAnsiTheme="majorHAnsi" w:cstheme="majorHAnsi"/>
        </w:rPr>
        <w:t xml:space="preserve"> </w:t>
      </w:r>
      <w:r w:rsidR="00774069">
        <w:rPr>
          <w:rFonts w:asciiTheme="majorHAnsi" w:hAnsiTheme="majorHAnsi" w:cstheme="majorHAnsi"/>
        </w:rPr>
        <w:t>re</w:t>
      </w:r>
      <w:r w:rsidR="006929F3">
        <w:rPr>
          <w:rFonts w:asciiTheme="majorHAnsi" w:hAnsiTheme="majorHAnsi" w:cstheme="majorHAnsi"/>
        </w:rPr>
        <w:t>trial</w:t>
      </w:r>
      <w:r w:rsidR="00774069">
        <w:rPr>
          <w:rFonts w:asciiTheme="majorHAnsi" w:hAnsiTheme="majorHAnsi" w:cstheme="majorHAnsi"/>
        </w:rPr>
        <w:t>,</w:t>
      </w:r>
      <w:r w:rsidR="006929F3">
        <w:rPr>
          <w:rFonts w:asciiTheme="majorHAnsi" w:hAnsiTheme="majorHAnsi" w:cstheme="majorHAnsi"/>
        </w:rPr>
        <w:t xml:space="preserve"> </w:t>
      </w:r>
      <w:r w:rsidR="0055786D">
        <w:rPr>
          <w:rFonts w:asciiTheme="majorHAnsi" w:hAnsiTheme="majorHAnsi" w:cstheme="majorHAnsi"/>
        </w:rPr>
        <w:t>or</w:t>
      </w:r>
      <w:r w:rsidR="006929F3">
        <w:rPr>
          <w:rFonts w:asciiTheme="majorHAnsi" w:hAnsiTheme="majorHAnsi" w:cstheme="majorHAnsi"/>
        </w:rPr>
        <w:t xml:space="preserve"> </w:t>
      </w:r>
      <w:r w:rsidR="00774069">
        <w:rPr>
          <w:rFonts w:asciiTheme="majorHAnsi" w:hAnsiTheme="majorHAnsi" w:cstheme="majorHAnsi"/>
        </w:rPr>
        <w:t xml:space="preserve">even </w:t>
      </w:r>
      <w:r w:rsidR="006929F3">
        <w:rPr>
          <w:rFonts w:asciiTheme="majorHAnsi" w:hAnsiTheme="majorHAnsi" w:cstheme="majorHAnsi"/>
        </w:rPr>
        <w:t xml:space="preserve">whether the convicted person has already served a </w:t>
      </w:r>
      <w:r w:rsidR="00774069">
        <w:rPr>
          <w:rFonts w:asciiTheme="majorHAnsi" w:hAnsiTheme="majorHAnsi" w:cstheme="majorHAnsi"/>
        </w:rPr>
        <w:t>sufficient</w:t>
      </w:r>
      <w:r w:rsidR="006929F3">
        <w:rPr>
          <w:rFonts w:asciiTheme="majorHAnsi" w:hAnsiTheme="majorHAnsi" w:cstheme="majorHAnsi"/>
        </w:rPr>
        <w:t xml:space="preserve"> sentence</w:t>
      </w:r>
      <w:r w:rsidR="009B5C20">
        <w:rPr>
          <w:rFonts w:asciiTheme="majorHAnsi" w:hAnsiTheme="majorHAnsi" w:cstheme="majorHAnsi"/>
        </w:rPr>
        <w:t xml:space="preserve"> (Australian Associated Press, 2019)</w:t>
      </w:r>
      <w:r w:rsidR="006929F3">
        <w:rPr>
          <w:rFonts w:asciiTheme="majorHAnsi" w:hAnsiTheme="majorHAnsi" w:cstheme="majorHAnsi"/>
        </w:rPr>
        <w:t>.</w:t>
      </w:r>
      <w:r w:rsidR="0055786D">
        <w:rPr>
          <w:rFonts w:asciiTheme="majorHAnsi" w:hAnsiTheme="majorHAnsi" w:cstheme="majorHAnsi"/>
        </w:rPr>
        <w:t xml:space="preserve"> </w:t>
      </w:r>
      <w:r w:rsidR="000A5103">
        <w:rPr>
          <w:rFonts w:asciiTheme="majorHAnsi" w:hAnsiTheme="majorHAnsi" w:cstheme="majorHAnsi"/>
        </w:rPr>
        <w:t xml:space="preserve">It is trite that the </w:t>
      </w:r>
      <w:r w:rsidR="005A78E1">
        <w:rPr>
          <w:rFonts w:asciiTheme="majorHAnsi" w:hAnsiTheme="majorHAnsi" w:cstheme="majorHAnsi"/>
        </w:rPr>
        <w:t xml:space="preserve">actions undertaken by Gobbo have </w:t>
      </w:r>
      <w:r w:rsidR="000F33B0">
        <w:rPr>
          <w:rFonts w:asciiTheme="majorHAnsi" w:hAnsiTheme="majorHAnsi" w:cstheme="majorHAnsi"/>
        </w:rPr>
        <w:t xml:space="preserve">illuminated the overarching systemic </w:t>
      </w:r>
      <w:r w:rsidR="00442784">
        <w:rPr>
          <w:rFonts w:asciiTheme="majorHAnsi" w:hAnsiTheme="majorHAnsi" w:cstheme="majorHAnsi"/>
        </w:rPr>
        <w:t xml:space="preserve">shortcomings of the Victorian Police and adequate measures are required to compensate. However, given the varying degree of </w:t>
      </w:r>
      <w:r w:rsidR="00620C7F">
        <w:rPr>
          <w:rFonts w:asciiTheme="majorHAnsi" w:hAnsiTheme="majorHAnsi" w:cstheme="majorHAnsi"/>
        </w:rPr>
        <w:t>information provided to aid the prosecution’s case, it becomes illogical to have a blanket rule</w:t>
      </w:r>
      <w:r w:rsidR="004F301B">
        <w:rPr>
          <w:rFonts w:asciiTheme="majorHAnsi" w:hAnsiTheme="majorHAnsi" w:cstheme="majorHAnsi"/>
        </w:rPr>
        <w:t>, thus the only plausible option is to tediously assess each case on an individual basis.</w:t>
      </w:r>
      <w:r w:rsidR="001B0768">
        <w:rPr>
          <w:rFonts w:asciiTheme="majorHAnsi" w:hAnsiTheme="majorHAnsi" w:cstheme="majorHAnsi"/>
        </w:rPr>
        <w:t xml:space="preserve"> Efficiency might have to be compromised to support fairness, or put another way, flexibility embraced rather than a blanket or ‘certain’ rule being applied to all 387 matters. </w:t>
      </w:r>
      <w:proofErr w:type="gramStart"/>
      <w:r w:rsidR="004F301B">
        <w:rPr>
          <w:rFonts w:asciiTheme="majorHAnsi" w:hAnsiTheme="majorHAnsi" w:cstheme="majorHAnsi"/>
        </w:rPr>
        <w:t>In order to</w:t>
      </w:r>
      <w:proofErr w:type="gramEnd"/>
      <w:r w:rsidR="004F301B">
        <w:rPr>
          <w:rFonts w:asciiTheme="majorHAnsi" w:hAnsiTheme="majorHAnsi" w:cstheme="majorHAnsi"/>
        </w:rPr>
        <w:t xml:space="preserve"> be entitled to an acquittal, first </w:t>
      </w:r>
      <w:r w:rsidR="00D84A0C">
        <w:rPr>
          <w:rFonts w:asciiTheme="majorHAnsi" w:hAnsiTheme="majorHAnsi" w:cstheme="majorHAnsi"/>
        </w:rPr>
        <w:t xml:space="preserve">there must be an assessment of whether </w:t>
      </w:r>
      <w:r w:rsidR="006661FA">
        <w:rPr>
          <w:rFonts w:asciiTheme="majorHAnsi" w:hAnsiTheme="majorHAnsi" w:cstheme="majorHAnsi"/>
        </w:rPr>
        <w:t>a violation to section</w:t>
      </w:r>
      <w:r w:rsidR="00E26563">
        <w:rPr>
          <w:rFonts w:asciiTheme="majorHAnsi" w:hAnsiTheme="majorHAnsi" w:cstheme="majorHAnsi"/>
        </w:rPr>
        <w:t xml:space="preserve"> 158 (2) of the </w:t>
      </w:r>
      <w:r w:rsidR="00E26563" w:rsidRPr="00EB6738">
        <w:rPr>
          <w:rFonts w:asciiTheme="majorHAnsi" w:hAnsiTheme="majorHAnsi" w:cstheme="majorHAnsi"/>
          <w:i/>
          <w:iCs/>
        </w:rPr>
        <w:t xml:space="preserve">Criminal Protection Act </w:t>
      </w:r>
      <w:r w:rsidR="008E09BF" w:rsidRPr="00EB6738">
        <w:rPr>
          <w:rFonts w:asciiTheme="majorHAnsi" w:hAnsiTheme="majorHAnsi" w:cstheme="majorHAnsi"/>
          <w:i/>
          <w:iCs/>
        </w:rPr>
        <w:t>1921</w:t>
      </w:r>
      <w:r w:rsidR="00207C7E">
        <w:rPr>
          <w:rFonts w:asciiTheme="majorHAnsi" w:hAnsiTheme="majorHAnsi" w:cstheme="majorHAnsi"/>
        </w:rPr>
        <w:t xml:space="preserve"> has </w:t>
      </w:r>
      <w:r w:rsidR="00774069">
        <w:rPr>
          <w:rFonts w:asciiTheme="majorHAnsi" w:hAnsiTheme="majorHAnsi" w:cstheme="majorHAnsi"/>
        </w:rPr>
        <w:t>occurred</w:t>
      </w:r>
      <w:r w:rsidR="008E09BF">
        <w:rPr>
          <w:rFonts w:asciiTheme="majorHAnsi" w:hAnsiTheme="majorHAnsi" w:cstheme="majorHAnsi"/>
        </w:rPr>
        <w:t xml:space="preserve">. If </w:t>
      </w:r>
      <w:r w:rsidR="00B944B2">
        <w:rPr>
          <w:rFonts w:asciiTheme="majorHAnsi" w:hAnsiTheme="majorHAnsi" w:cstheme="majorHAnsi"/>
        </w:rPr>
        <w:t xml:space="preserve">the contents of the case were on the contrary to any three of the clauses, this triggers </w:t>
      </w:r>
      <w:r w:rsidR="0038595D">
        <w:rPr>
          <w:rFonts w:asciiTheme="majorHAnsi" w:hAnsiTheme="majorHAnsi" w:cstheme="majorHAnsi"/>
        </w:rPr>
        <w:t>an entitlement to a</w:t>
      </w:r>
      <w:r w:rsidR="005A18E0">
        <w:rPr>
          <w:rFonts w:asciiTheme="majorHAnsi" w:hAnsiTheme="majorHAnsi" w:cstheme="majorHAnsi"/>
        </w:rPr>
        <w:t>n</w:t>
      </w:r>
      <w:r w:rsidR="0038595D">
        <w:rPr>
          <w:rFonts w:asciiTheme="majorHAnsi" w:hAnsiTheme="majorHAnsi" w:cstheme="majorHAnsi"/>
        </w:rPr>
        <w:t xml:space="preserve"> appeal. Predominately, appellants in the Gobbo scandal will gravitate towards section 2</w:t>
      </w:r>
      <w:r w:rsidR="00D62C0E">
        <w:rPr>
          <w:rFonts w:asciiTheme="majorHAnsi" w:hAnsiTheme="majorHAnsi" w:cstheme="majorHAnsi"/>
        </w:rPr>
        <w:t xml:space="preserve">, “a substantial miscarriage of justice”, which requires the appellant to justify that </w:t>
      </w:r>
      <w:r w:rsidR="00170C37">
        <w:rPr>
          <w:rFonts w:asciiTheme="majorHAnsi" w:hAnsiTheme="majorHAnsi" w:cstheme="majorHAnsi"/>
        </w:rPr>
        <w:t xml:space="preserve">Gobbo’s actions </w:t>
      </w:r>
      <w:r w:rsidR="002357BD">
        <w:rPr>
          <w:rFonts w:asciiTheme="majorHAnsi" w:hAnsiTheme="majorHAnsi" w:cstheme="majorHAnsi"/>
        </w:rPr>
        <w:t>blurred the distinction between the prosecution and defence</w:t>
      </w:r>
      <w:r w:rsidR="00774069">
        <w:rPr>
          <w:rFonts w:asciiTheme="majorHAnsi" w:hAnsiTheme="majorHAnsi" w:cstheme="majorHAnsi"/>
        </w:rPr>
        <w:t xml:space="preserve"> such that </w:t>
      </w:r>
      <w:r w:rsidR="00220355">
        <w:rPr>
          <w:rFonts w:asciiTheme="majorHAnsi" w:hAnsiTheme="majorHAnsi" w:cstheme="majorHAnsi"/>
        </w:rPr>
        <w:t xml:space="preserve">a fair-minded individual </w:t>
      </w:r>
      <w:r w:rsidR="00774069">
        <w:rPr>
          <w:rFonts w:asciiTheme="majorHAnsi" w:hAnsiTheme="majorHAnsi" w:cstheme="majorHAnsi"/>
        </w:rPr>
        <w:t xml:space="preserve">might </w:t>
      </w:r>
      <w:r w:rsidR="00220355">
        <w:rPr>
          <w:rFonts w:asciiTheme="majorHAnsi" w:hAnsiTheme="majorHAnsi" w:cstheme="majorHAnsi"/>
        </w:rPr>
        <w:t>entertain suspicion</w:t>
      </w:r>
      <w:r w:rsidR="00774069">
        <w:rPr>
          <w:rFonts w:asciiTheme="majorHAnsi" w:hAnsiTheme="majorHAnsi" w:cstheme="majorHAnsi"/>
        </w:rPr>
        <w:t xml:space="preserve"> that there had been a miscarriage of justice</w:t>
      </w:r>
      <w:r w:rsidR="00220355">
        <w:rPr>
          <w:rFonts w:asciiTheme="majorHAnsi" w:hAnsiTheme="majorHAnsi" w:cstheme="majorHAnsi"/>
        </w:rPr>
        <w:t xml:space="preserve">. </w:t>
      </w:r>
      <w:r w:rsidR="002915A9">
        <w:rPr>
          <w:rFonts w:asciiTheme="majorHAnsi" w:hAnsiTheme="majorHAnsi" w:cstheme="majorHAnsi"/>
        </w:rPr>
        <w:t xml:space="preserve">Once these requirements have been fulfilled, it satisfies </w:t>
      </w:r>
      <w:r w:rsidR="00614820">
        <w:rPr>
          <w:rFonts w:asciiTheme="majorHAnsi" w:hAnsiTheme="majorHAnsi" w:cstheme="majorHAnsi"/>
        </w:rPr>
        <w:t xml:space="preserve">an acquittal. Subsequently, </w:t>
      </w:r>
      <w:r w:rsidR="005A18E0">
        <w:rPr>
          <w:rFonts w:asciiTheme="majorHAnsi" w:hAnsiTheme="majorHAnsi" w:cstheme="majorHAnsi"/>
        </w:rPr>
        <w:t xml:space="preserve">these acquittals could re-introduce havoc as </w:t>
      </w:r>
      <w:r w:rsidR="009E601E">
        <w:rPr>
          <w:rFonts w:asciiTheme="majorHAnsi" w:hAnsiTheme="majorHAnsi" w:cstheme="majorHAnsi"/>
        </w:rPr>
        <w:t xml:space="preserve">observed by the tendency of </w:t>
      </w:r>
      <w:proofErr w:type="spellStart"/>
      <w:r w:rsidR="009E601E">
        <w:rPr>
          <w:rFonts w:asciiTheme="majorHAnsi" w:hAnsiTheme="majorHAnsi" w:cstheme="majorHAnsi"/>
        </w:rPr>
        <w:t>Mokbel</w:t>
      </w:r>
      <w:proofErr w:type="spellEnd"/>
      <w:r w:rsidR="009E601E">
        <w:rPr>
          <w:rFonts w:asciiTheme="majorHAnsi" w:hAnsiTheme="majorHAnsi" w:cstheme="majorHAnsi"/>
        </w:rPr>
        <w:t xml:space="preserve"> and likeminded criminals to return to their illegal ways once released.</w:t>
      </w:r>
      <w:r w:rsidR="00B53F26">
        <w:rPr>
          <w:rFonts w:asciiTheme="majorHAnsi" w:hAnsiTheme="majorHAnsi" w:cstheme="majorHAnsi"/>
        </w:rPr>
        <w:t xml:space="preserve"> </w:t>
      </w:r>
      <w:r w:rsidR="003D7305">
        <w:rPr>
          <w:rFonts w:asciiTheme="majorHAnsi" w:hAnsiTheme="majorHAnsi" w:cstheme="majorHAnsi"/>
        </w:rPr>
        <w:t xml:space="preserve">Nonetheless, the integrity of the </w:t>
      </w:r>
      <w:r w:rsidR="00774069">
        <w:rPr>
          <w:rFonts w:asciiTheme="majorHAnsi" w:hAnsiTheme="majorHAnsi" w:cstheme="majorHAnsi"/>
        </w:rPr>
        <w:lastRenderedPageBreak/>
        <w:t>c</w:t>
      </w:r>
      <w:r w:rsidR="003D7305">
        <w:rPr>
          <w:rFonts w:asciiTheme="majorHAnsi" w:hAnsiTheme="majorHAnsi" w:cstheme="majorHAnsi"/>
        </w:rPr>
        <w:t xml:space="preserve">riminal </w:t>
      </w:r>
      <w:r w:rsidR="00774069">
        <w:rPr>
          <w:rFonts w:asciiTheme="majorHAnsi" w:hAnsiTheme="majorHAnsi" w:cstheme="majorHAnsi"/>
        </w:rPr>
        <w:t>j</w:t>
      </w:r>
      <w:r w:rsidR="003D7305">
        <w:rPr>
          <w:rFonts w:asciiTheme="majorHAnsi" w:hAnsiTheme="majorHAnsi" w:cstheme="majorHAnsi"/>
        </w:rPr>
        <w:t xml:space="preserve">ustice system and the Victoria Police </w:t>
      </w:r>
      <w:r w:rsidR="00C657E5">
        <w:rPr>
          <w:rFonts w:asciiTheme="majorHAnsi" w:hAnsiTheme="majorHAnsi" w:cstheme="majorHAnsi"/>
        </w:rPr>
        <w:t>is imperative to restore along with the trust associated that an individual will receive a fair trial</w:t>
      </w:r>
      <w:r w:rsidR="003D7EB8">
        <w:rPr>
          <w:rFonts w:asciiTheme="majorHAnsi" w:hAnsiTheme="majorHAnsi" w:cstheme="majorHAnsi"/>
        </w:rPr>
        <w:t>. The optimal solution is to</w:t>
      </w:r>
      <w:r w:rsidR="001E697D">
        <w:rPr>
          <w:rFonts w:asciiTheme="majorHAnsi" w:hAnsiTheme="majorHAnsi" w:cstheme="majorHAnsi"/>
        </w:rPr>
        <w:t xml:space="preserve"> investigate whether Gobbo’s interference has constituted the requirements for an acquittal</w:t>
      </w:r>
      <w:r w:rsidR="00774069">
        <w:rPr>
          <w:rFonts w:asciiTheme="majorHAnsi" w:hAnsiTheme="majorHAnsi" w:cstheme="majorHAnsi"/>
        </w:rPr>
        <w:t xml:space="preserve"> in respect of </w:t>
      </w:r>
      <w:proofErr w:type="gramStart"/>
      <w:r w:rsidR="00774069">
        <w:rPr>
          <w:rFonts w:asciiTheme="majorHAnsi" w:hAnsiTheme="majorHAnsi" w:cstheme="majorHAnsi"/>
        </w:rPr>
        <w:t>each and every</w:t>
      </w:r>
      <w:proofErr w:type="gramEnd"/>
      <w:r w:rsidR="00774069">
        <w:rPr>
          <w:rFonts w:asciiTheme="majorHAnsi" w:hAnsiTheme="majorHAnsi" w:cstheme="majorHAnsi"/>
        </w:rPr>
        <w:t xml:space="preserve"> one of her convicted clients</w:t>
      </w:r>
      <w:r w:rsidR="00A16711">
        <w:rPr>
          <w:rFonts w:asciiTheme="majorHAnsi" w:hAnsiTheme="majorHAnsi" w:cstheme="majorHAnsi"/>
        </w:rPr>
        <w:t>, despite the adverse consequences associated.</w:t>
      </w:r>
      <w:r w:rsidR="001B0768">
        <w:rPr>
          <w:rFonts w:asciiTheme="majorHAnsi" w:hAnsiTheme="majorHAnsi" w:cstheme="majorHAnsi"/>
        </w:rPr>
        <w:t xml:space="preserve"> As such, the rights of Gobbo’s former clients must be prioritised so that, in the longer term, there can be faith in the legal profession, Victoria police, and the wider criminal justice system. It is conceded that this would be an expensive process and that community safety might also be jeopardised through the potential release of dangerous criminals, but it is necessary to restore a sense of certainty that the rights of participants in the justice system will always be protected. </w:t>
      </w:r>
    </w:p>
    <w:p w14:paraId="1A2CD396" w14:textId="44BDCFCC" w:rsidR="00827F90" w:rsidRDefault="00827F90" w:rsidP="006B2F5C">
      <w:pPr>
        <w:spacing w:line="360" w:lineRule="auto"/>
        <w:ind w:left="-426" w:right="-619"/>
        <w:jc w:val="both"/>
        <w:rPr>
          <w:rFonts w:asciiTheme="majorHAnsi" w:hAnsiTheme="majorHAnsi" w:cstheme="majorHAnsi"/>
        </w:rPr>
      </w:pPr>
    </w:p>
    <w:p w14:paraId="6FB99BE0" w14:textId="3E9DD57D" w:rsidR="00EB6738" w:rsidRDefault="00EB6738" w:rsidP="00DA620B">
      <w:pPr>
        <w:spacing w:line="360" w:lineRule="auto"/>
        <w:ind w:right="-619"/>
        <w:jc w:val="both"/>
        <w:rPr>
          <w:rFonts w:asciiTheme="majorHAnsi" w:hAnsiTheme="majorHAnsi" w:cstheme="majorHAnsi"/>
        </w:rPr>
      </w:pPr>
    </w:p>
    <w:p w14:paraId="7F0AC812" w14:textId="202B9180" w:rsidR="007C4CB1" w:rsidRDefault="00EB6738" w:rsidP="006B2F5C">
      <w:pPr>
        <w:spacing w:line="360" w:lineRule="auto"/>
        <w:ind w:left="-426" w:right="-619"/>
        <w:jc w:val="both"/>
        <w:rPr>
          <w:rFonts w:asciiTheme="majorHAnsi" w:hAnsiTheme="majorHAnsi" w:cstheme="majorHAnsi"/>
        </w:rPr>
      </w:pPr>
      <w:r w:rsidRPr="00132273">
        <w:rPr>
          <w:rFonts w:asciiTheme="majorHAnsi" w:hAnsiTheme="majorHAnsi" w:cstheme="majorHAnsi"/>
          <w:b/>
          <w:bCs/>
        </w:rPr>
        <w:t>References</w:t>
      </w:r>
      <w:r w:rsidR="007C4CB1">
        <w:rPr>
          <w:rFonts w:asciiTheme="majorHAnsi" w:hAnsiTheme="majorHAnsi" w:cstheme="majorHAnsi"/>
        </w:rPr>
        <w:t>:</w:t>
      </w:r>
    </w:p>
    <w:p w14:paraId="7A3690FC" w14:textId="45A41459" w:rsidR="00374602" w:rsidRDefault="00374602" w:rsidP="008538BB">
      <w:pPr>
        <w:spacing w:line="360" w:lineRule="auto"/>
        <w:ind w:left="-426" w:right="-619"/>
        <w:rPr>
          <w:rFonts w:asciiTheme="majorHAnsi" w:hAnsiTheme="majorHAnsi" w:cstheme="majorHAnsi"/>
        </w:rPr>
      </w:pPr>
      <w:r>
        <w:rPr>
          <w:rFonts w:asciiTheme="majorHAnsi" w:hAnsiTheme="majorHAnsi" w:cstheme="majorHAnsi"/>
        </w:rPr>
        <w:t>Australian Broadcasting Corporation (</w:t>
      </w:r>
      <w:r w:rsidR="008538BB">
        <w:rPr>
          <w:rFonts w:asciiTheme="majorHAnsi" w:hAnsiTheme="majorHAnsi" w:cstheme="majorHAnsi"/>
        </w:rPr>
        <w:t xml:space="preserve">2020). </w:t>
      </w:r>
      <w:r w:rsidR="008538BB" w:rsidRPr="008538BB">
        <w:rPr>
          <w:rFonts w:asciiTheme="majorHAnsi" w:hAnsiTheme="majorHAnsi" w:cstheme="majorHAnsi"/>
          <w:i/>
          <w:iCs/>
        </w:rPr>
        <w:t xml:space="preserve">Carl Williams, Nicola Gobbo and Tony </w:t>
      </w:r>
      <w:proofErr w:type="spellStart"/>
      <w:r w:rsidR="008538BB" w:rsidRPr="008538BB">
        <w:rPr>
          <w:rFonts w:asciiTheme="majorHAnsi" w:hAnsiTheme="majorHAnsi" w:cstheme="majorHAnsi"/>
          <w:i/>
          <w:iCs/>
        </w:rPr>
        <w:t>Mokbel</w:t>
      </w:r>
      <w:proofErr w:type="spellEnd"/>
      <w:r w:rsidR="008538BB" w:rsidRPr="008538BB">
        <w:rPr>
          <w:rFonts w:asciiTheme="majorHAnsi" w:hAnsiTheme="majorHAnsi" w:cstheme="majorHAnsi"/>
          <w:i/>
          <w:iCs/>
        </w:rPr>
        <w:t>.</w:t>
      </w:r>
      <w:r w:rsidR="008538BB">
        <w:rPr>
          <w:rFonts w:asciiTheme="majorHAnsi" w:hAnsiTheme="majorHAnsi" w:cstheme="majorHAnsi"/>
        </w:rPr>
        <w:t xml:space="preserve"> &lt;</w:t>
      </w:r>
      <w:r w:rsidR="008538BB" w:rsidRPr="008538BB">
        <w:t xml:space="preserve"> </w:t>
      </w:r>
      <w:hyperlink r:id="rId6" w:history="1">
        <w:r w:rsidR="008538BB" w:rsidRPr="00625A72">
          <w:rPr>
            <w:rStyle w:val="Hyperlink"/>
            <w:rFonts w:asciiTheme="majorHAnsi" w:hAnsiTheme="majorHAnsi" w:cstheme="majorHAnsi"/>
          </w:rPr>
          <w:t>https://www.abc.net.au/news/2020-02-07/generic-graphic:-carl-williams,-nicola-gobbo-and-tony-mokbel/11942310?nw=0</w:t>
        </w:r>
      </w:hyperlink>
      <w:r w:rsidR="008538BB">
        <w:rPr>
          <w:rFonts w:asciiTheme="majorHAnsi" w:hAnsiTheme="majorHAnsi" w:cstheme="majorHAnsi"/>
        </w:rPr>
        <w:t xml:space="preserve">&gt;. Accessed 3 September 2020. </w:t>
      </w:r>
    </w:p>
    <w:p w14:paraId="2F6C2443" w14:textId="77777777" w:rsidR="00374602" w:rsidRDefault="00374602" w:rsidP="007F42F1">
      <w:pPr>
        <w:spacing w:line="360" w:lineRule="auto"/>
        <w:ind w:left="-426" w:right="-619"/>
        <w:rPr>
          <w:rFonts w:asciiTheme="majorHAnsi" w:hAnsiTheme="majorHAnsi" w:cstheme="majorHAnsi"/>
        </w:rPr>
      </w:pPr>
    </w:p>
    <w:p w14:paraId="4B3E1731" w14:textId="1A64FDDF" w:rsidR="007F42F1" w:rsidRDefault="00B91194" w:rsidP="007F42F1">
      <w:pPr>
        <w:spacing w:line="360" w:lineRule="auto"/>
        <w:ind w:left="-426" w:right="-619"/>
        <w:rPr>
          <w:rFonts w:asciiTheme="majorHAnsi" w:hAnsiTheme="majorHAnsi" w:cstheme="majorHAnsi"/>
        </w:rPr>
      </w:pPr>
      <w:r w:rsidRPr="00103CA5">
        <w:rPr>
          <w:rFonts w:asciiTheme="majorHAnsi" w:hAnsiTheme="majorHAnsi" w:cstheme="majorHAnsi"/>
        </w:rPr>
        <w:t xml:space="preserve">Criminal Procedure Act </w:t>
      </w:r>
      <w:r w:rsidR="0095101F">
        <w:rPr>
          <w:rFonts w:asciiTheme="majorHAnsi" w:hAnsiTheme="majorHAnsi" w:cstheme="majorHAnsi"/>
        </w:rPr>
        <w:t>(</w:t>
      </w:r>
      <w:r w:rsidRPr="00103CA5">
        <w:rPr>
          <w:rFonts w:asciiTheme="majorHAnsi" w:hAnsiTheme="majorHAnsi" w:cstheme="majorHAnsi"/>
        </w:rPr>
        <w:t>2009</w:t>
      </w:r>
      <w:r w:rsidR="0095101F">
        <w:rPr>
          <w:rFonts w:asciiTheme="majorHAnsi" w:hAnsiTheme="majorHAnsi" w:cstheme="majorHAnsi"/>
        </w:rPr>
        <w:t>).</w:t>
      </w:r>
      <w:r w:rsidR="00843A9F">
        <w:rPr>
          <w:rFonts w:asciiTheme="majorHAnsi" w:hAnsiTheme="majorHAnsi" w:cstheme="majorHAnsi"/>
        </w:rPr>
        <w:t xml:space="preserve"> </w:t>
      </w:r>
      <w:r w:rsidR="00843A9F" w:rsidRPr="007543CA">
        <w:rPr>
          <w:rFonts w:asciiTheme="majorHAnsi" w:hAnsiTheme="majorHAnsi" w:cstheme="majorHAnsi"/>
          <w:i/>
          <w:iCs/>
        </w:rPr>
        <w:t>Determination of appeal against Conviction</w:t>
      </w:r>
      <w:r w:rsidR="00843A9F">
        <w:rPr>
          <w:rFonts w:asciiTheme="majorHAnsi" w:hAnsiTheme="majorHAnsi" w:cstheme="majorHAnsi"/>
        </w:rPr>
        <w:t>.</w:t>
      </w:r>
      <w:r w:rsidR="0095101F">
        <w:rPr>
          <w:rFonts w:asciiTheme="majorHAnsi" w:hAnsiTheme="majorHAnsi" w:cstheme="majorHAnsi"/>
        </w:rPr>
        <w:t xml:space="preserve"> </w:t>
      </w:r>
      <w:r w:rsidRPr="00103CA5">
        <w:rPr>
          <w:rFonts w:asciiTheme="majorHAnsi" w:hAnsiTheme="majorHAnsi" w:cstheme="majorHAnsi"/>
        </w:rPr>
        <w:t xml:space="preserve"> s 276(1)</w:t>
      </w:r>
      <w:r>
        <w:rPr>
          <w:rFonts w:asciiTheme="majorHAnsi" w:hAnsiTheme="majorHAnsi" w:cstheme="majorHAnsi"/>
        </w:rPr>
        <w:t>.</w:t>
      </w:r>
      <w:r w:rsidR="00843A9F">
        <w:rPr>
          <w:rFonts w:asciiTheme="majorHAnsi" w:hAnsiTheme="majorHAnsi" w:cstheme="majorHAnsi"/>
        </w:rPr>
        <w:t xml:space="preserve"> </w:t>
      </w:r>
    </w:p>
    <w:p w14:paraId="18F43F18" w14:textId="79631C07" w:rsidR="00B91194" w:rsidRDefault="00843A9F" w:rsidP="007F42F1">
      <w:pPr>
        <w:spacing w:line="360" w:lineRule="auto"/>
        <w:ind w:left="-426" w:right="-619"/>
        <w:rPr>
          <w:rFonts w:asciiTheme="majorHAnsi" w:hAnsiTheme="majorHAnsi" w:cstheme="majorHAnsi"/>
        </w:rPr>
      </w:pPr>
      <w:r>
        <w:rPr>
          <w:rFonts w:asciiTheme="majorHAnsi" w:hAnsiTheme="majorHAnsi" w:cstheme="majorHAnsi"/>
        </w:rPr>
        <w:t>&lt;</w:t>
      </w:r>
      <w:r w:rsidRPr="00843A9F">
        <w:t xml:space="preserve"> </w:t>
      </w:r>
      <w:hyperlink r:id="rId7" w:history="1">
        <w:r w:rsidRPr="00625A72">
          <w:rPr>
            <w:rStyle w:val="Hyperlink"/>
            <w:rFonts w:asciiTheme="majorHAnsi" w:hAnsiTheme="majorHAnsi" w:cstheme="majorHAnsi"/>
          </w:rPr>
          <w:t>http://www5.austlii.edu.au/au/legis/vic/consol_act/cpa2009188/s276.html</w:t>
        </w:r>
      </w:hyperlink>
      <w:r>
        <w:rPr>
          <w:rFonts w:asciiTheme="majorHAnsi" w:hAnsiTheme="majorHAnsi" w:cstheme="majorHAnsi"/>
        </w:rPr>
        <w:t xml:space="preserve">&gt;. Accessed </w:t>
      </w:r>
      <w:r w:rsidR="007F42F1">
        <w:rPr>
          <w:rFonts w:asciiTheme="majorHAnsi" w:hAnsiTheme="majorHAnsi" w:cstheme="majorHAnsi"/>
        </w:rPr>
        <w:t>12 September 2020.</w:t>
      </w:r>
    </w:p>
    <w:p w14:paraId="6A371E85" w14:textId="5F9AB665" w:rsidR="00394E91" w:rsidRDefault="00394E91" w:rsidP="007F42F1">
      <w:pPr>
        <w:spacing w:line="360" w:lineRule="auto"/>
        <w:ind w:left="-426" w:right="-619"/>
        <w:rPr>
          <w:rFonts w:asciiTheme="majorHAnsi" w:hAnsiTheme="majorHAnsi" w:cstheme="majorHAnsi"/>
        </w:rPr>
      </w:pPr>
    </w:p>
    <w:p w14:paraId="2D85E44C" w14:textId="3BC15A92" w:rsidR="00394E91" w:rsidRDefault="00394E91" w:rsidP="00394E91">
      <w:pPr>
        <w:spacing w:line="360" w:lineRule="auto"/>
        <w:ind w:left="-426" w:right="-619"/>
        <w:rPr>
          <w:rFonts w:asciiTheme="majorHAnsi" w:hAnsiTheme="majorHAnsi" w:cstheme="majorHAnsi"/>
        </w:rPr>
      </w:pPr>
      <w:r>
        <w:rPr>
          <w:rFonts w:asciiTheme="majorHAnsi" w:hAnsiTheme="majorHAnsi" w:cstheme="majorHAnsi"/>
        </w:rPr>
        <w:t xml:space="preserve">Farnsworth, S. (2019). </w:t>
      </w:r>
      <w:r w:rsidRPr="00394E91">
        <w:rPr>
          <w:rFonts w:asciiTheme="majorHAnsi" w:hAnsiTheme="majorHAnsi" w:cstheme="majorHAnsi"/>
          <w:i/>
          <w:iCs/>
        </w:rPr>
        <w:t>Nicola Gobbo, aka Lawyer X, had intimate relationship with police officer who first signed her up as informant</w:t>
      </w:r>
      <w:r>
        <w:rPr>
          <w:rFonts w:asciiTheme="majorHAnsi" w:hAnsiTheme="majorHAnsi" w:cstheme="majorHAnsi"/>
        </w:rPr>
        <w:t xml:space="preserve">. </w:t>
      </w:r>
      <w:r w:rsidR="007543CA">
        <w:rPr>
          <w:rFonts w:asciiTheme="majorHAnsi" w:hAnsiTheme="majorHAnsi" w:cstheme="majorHAnsi"/>
        </w:rPr>
        <w:t>&lt;</w:t>
      </w:r>
      <w:r w:rsidR="007543CA" w:rsidRPr="007543CA">
        <w:t xml:space="preserve"> </w:t>
      </w:r>
      <w:hyperlink r:id="rId8" w:history="1">
        <w:r w:rsidR="007543CA" w:rsidRPr="00625A72">
          <w:rPr>
            <w:rStyle w:val="Hyperlink"/>
            <w:rFonts w:asciiTheme="majorHAnsi" w:hAnsiTheme="majorHAnsi" w:cstheme="majorHAnsi"/>
          </w:rPr>
          <w:t>https://www.abc.net.au/news/2019-04-01/police-officer-admits-intimate-relationship-with-lawyer-x/10959990</w:t>
        </w:r>
      </w:hyperlink>
      <w:r w:rsidR="007543CA">
        <w:rPr>
          <w:rFonts w:asciiTheme="majorHAnsi" w:hAnsiTheme="majorHAnsi" w:cstheme="majorHAnsi"/>
        </w:rPr>
        <w:t xml:space="preserve">&gt;. Accessed 20 September 2020. </w:t>
      </w:r>
    </w:p>
    <w:p w14:paraId="03BC5C2C" w14:textId="6C28C23F" w:rsidR="002F3C8D" w:rsidRDefault="002F3C8D" w:rsidP="00394E91">
      <w:pPr>
        <w:spacing w:line="360" w:lineRule="auto"/>
        <w:ind w:left="-426" w:right="-619"/>
        <w:rPr>
          <w:rFonts w:asciiTheme="majorHAnsi" w:hAnsiTheme="majorHAnsi" w:cstheme="majorHAnsi"/>
        </w:rPr>
      </w:pPr>
    </w:p>
    <w:p w14:paraId="53119887" w14:textId="688C9285" w:rsidR="002F3C8D" w:rsidRPr="002F3C8D" w:rsidRDefault="002F3C8D" w:rsidP="002F3C8D">
      <w:pPr>
        <w:spacing w:line="360" w:lineRule="auto"/>
        <w:ind w:left="-426" w:right="-619"/>
        <w:rPr>
          <w:rFonts w:asciiTheme="majorHAnsi" w:hAnsiTheme="majorHAnsi" w:cstheme="majorHAnsi"/>
        </w:rPr>
      </w:pPr>
      <w:r>
        <w:rPr>
          <w:rFonts w:asciiTheme="majorHAnsi" w:hAnsiTheme="majorHAnsi" w:cstheme="majorHAnsi"/>
        </w:rPr>
        <w:t xml:space="preserve">Houston, C. (2019). </w:t>
      </w:r>
      <w:r w:rsidRPr="002F3C8D">
        <w:rPr>
          <w:rFonts w:asciiTheme="majorHAnsi" w:hAnsiTheme="majorHAnsi" w:cstheme="majorHAnsi"/>
          <w:i/>
          <w:iCs/>
        </w:rPr>
        <w:t>The harder they fall: Nicola Gobbo, from gangland lawyer to family outcast.</w:t>
      </w:r>
      <w:r>
        <w:rPr>
          <w:rFonts w:asciiTheme="majorHAnsi" w:hAnsiTheme="majorHAnsi" w:cstheme="majorHAnsi"/>
        </w:rPr>
        <w:t xml:space="preserve"> &lt;</w:t>
      </w:r>
      <w:r w:rsidRPr="002F3C8D">
        <w:t xml:space="preserve"> </w:t>
      </w:r>
      <w:hyperlink r:id="rId9" w:history="1">
        <w:r w:rsidRPr="00625A72">
          <w:rPr>
            <w:rStyle w:val="Hyperlink"/>
            <w:rFonts w:asciiTheme="majorHAnsi" w:hAnsiTheme="majorHAnsi" w:cstheme="majorHAnsi"/>
          </w:rPr>
          <w:t>https://www.theage.com.au/national/victoria/the-harder-they-fall-nicola-gobbo-from-gangland-lawyer-to-family-outcast-20190301-p5113d.html</w:t>
        </w:r>
      </w:hyperlink>
      <w:r>
        <w:rPr>
          <w:rFonts w:asciiTheme="majorHAnsi" w:hAnsiTheme="majorHAnsi" w:cstheme="majorHAnsi"/>
        </w:rPr>
        <w:t xml:space="preserve">&gt;. Accessed 2 September 2020. </w:t>
      </w:r>
    </w:p>
    <w:p w14:paraId="48A9EAA7" w14:textId="33172E96" w:rsidR="00B91194" w:rsidRDefault="00B91194" w:rsidP="00394E91">
      <w:pPr>
        <w:spacing w:line="360" w:lineRule="auto"/>
        <w:ind w:right="-619"/>
        <w:jc w:val="both"/>
        <w:rPr>
          <w:rFonts w:asciiTheme="majorHAnsi" w:hAnsiTheme="majorHAnsi" w:cstheme="majorHAnsi"/>
        </w:rPr>
      </w:pPr>
    </w:p>
    <w:p w14:paraId="77ADBFCE" w14:textId="79A32AD6" w:rsidR="009D2967" w:rsidRDefault="00C812EC" w:rsidP="006B2F5C">
      <w:pPr>
        <w:spacing w:line="360" w:lineRule="auto"/>
        <w:ind w:left="-426" w:right="-619"/>
        <w:jc w:val="both"/>
        <w:rPr>
          <w:rFonts w:asciiTheme="majorHAnsi" w:hAnsiTheme="majorHAnsi" w:cstheme="majorHAnsi"/>
        </w:rPr>
      </w:pPr>
      <w:r>
        <w:rPr>
          <w:rFonts w:asciiTheme="majorHAnsi" w:hAnsiTheme="majorHAnsi" w:cstheme="majorHAnsi"/>
        </w:rPr>
        <w:t xml:space="preserve">Law Council </w:t>
      </w:r>
      <w:proofErr w:type="gramStart"/>
      <w:r>
        <w:rPr>
          <w:rFonts w:asciiTheme="majorHAnsi" w:hAnsiTheme="majorHAnsi" w:cstheme="majorHAnsi"/>
        </w:rPr>
        <w:t>Of</w:t>
      </w:r>
      <w:proofErr w:type="gramEnd"/>
      <w:r>
        <w:rPr>
          <w:rFonts w:asciiTheme="majorHAnsi" w:hAnsiTheme="majorHAnsi" w:cstheme="majorHAnsi"/>
        </w:rPr>
        <w:t xml:space="preserve"> Australia (2017). </w:t>
      </w:r>
      <w:r w:rsidRPr="0003630B">
        <w:rPr>
          <w:rFonts w:asciiTheme="majorHAnsi" w:hAnsiTheme="majorHAnsi" w:cstheme="majorHAnsi"/>
          <w:i/>
          <w:iCs/>
        </w:rPr>
        <w:t>Client Legal Privilege</w:t>
      </w:r>
      <w:r>
        <w:rPr>
          <w:rFonts w:asciiTheme="majorHAnsi" w:hAnsiTheme="majorHAnsi" w:cstheme="majorHAnsi"/>
        </w:rPr>
        <w:t>.</w:t>
      </w:r>
      <w:r w:rsidR="0003630B">
        <w:rPr>
          <w:rFonts w:asciiTheme="majorHAnsi" w:hAnsiTheme="majorHAnsi" w:cstheme="majorHAnsi"/>
        </w:rPr>
        <w:t xml:space="preserve"> &lt;</w:t>
      </w:r>
      <w:r w:rsidR="0003630B" w:rsidRPr="0003630B">
        <w:rPr>
          <w:rFonts w:asciiTheme="majorHAnsi" w:hAnsiTheme="majorHAnsi" w:cstheme="majorHAnsi"/>
        </w:rPr>
        <w:t>https://www.lawcouncil.asn.au/policy-agenda/regulation-of-the-profession-and-ethics/client-legal-privilege</w:t>
      </w:r>
      <w:r w:rsidR="0003630B">
        <w:rPr>
          <w:rFonts w:asciiTheme="majorHAnsi" w:hAnsiTheme="majorHAnsi" w:cstheme="majorHAnsi"/>
        </w:rPr>
        <w:t xml:space="preserve">&gt;. Accessed </w:t>
      </w:r>
      <w:r w:rsidR="009D2967">
        <w:rPr>
          <w:rFonts w:asciiTheme="majorHAnsi" w:hAnsiTheme="majorHAnsi" w:cstheme="majorHAnsi"/>
        </w:rPr>
        <w:t>2 September 2020.</w:t>
      </w:r>
    </w:p>
    <w:p w14:paraId="03AF5ED0" w14:textId="79D509D5" w:rsidR="00D80708" w:rsidRDefault="00D80708" w:rsidP="006B2F5C">
      <w:pPr>
        <w:spacing w:line="360" w:lineRule="auto"/>
        <w:ind w:left="-426" w:right="-619"/>
        <w:jc w:val="both"/>
        <w:rPr>
          <w:rFonts w:asciiTheme="majorHAnsi" w:hAnsiTheme="majorHAnsi" w:cstheme="majorHAnsi"/>
        </w:rPr>
      </w:pPr>
    </w:p>
    <w:p w14:paraId="1B21C0F8" w14:textId="4EEF8A75" w:rsidR="00D80708" w:rsidRDefault="00D80708" w:rsidP="000F2C7C">
      <w:pPr>
        <w:spacing w:line="360" w:lineRule="auto"/>
        <w:ind w:left="-426" w:right="-619"/>
        <w:rPr>
          <w:rFonts w:asciiTheme="majorHAnsi" w:hAnsiTheme="majorHAnsi" w:cstheme="majorHAnsi"/>
        </w:rPr>
      </w:pPr>
      <w:r>
        <w:rPr>
          <w:rFonts w:asciiTheme="majorHAnsi" w:hAnsiTheme="majorHAnsi" w:cstheme="majorHAnsi"/>
        </w:rPr>
        <w:lastRenderedPageBreak/>
        <w:t xml:space="preserve">Moor, K. (2012). </w:t>
      </w:r>
      <w:r w:rsidR="000F2C7C">
        <w:rPr>
          <w:rFonts w:asciiTheme="majorHAnsi" w:hAnsiTheme="majorHAnsi" w:cstheme="majorHAnsi"/>
        </w:rPr>
        <w:t xml:space="preserve">Tony </w:t>
      </w:r>
      <w:proofErr w:type="spellStart"/>
      <w:r w:rsidR="000F2C7C">
        <w:rPr>
          <w:rFonts w:asciiTheme="majorHAnsi" w:hAnsiTheme="majorHAnsi" w:cstheme="majorHAnsi"/>
        </w:rPr>
        <w:t>Mokbel’s</w:t>
      </w:r>
      <w:proofErr w:type="spellEnd"/>
      <w:r w:rsidR="000F2C7C">
        <w:rPr>
          <w:rFonts w:asciiTheme="majorHAnsi" w:hAnsiTheme="majorHAnsi" w:cstheme="majorHAnsi"/>
        </w:rPr>
        <w:t xml:space="preserve"> drug connections. &lt;</w:t>
      </w:r>
      <w:hyperlink r:id="rId10" w:history="1">
        <w:r w:rsidR="000F2C7C" w:rsidRPr="00625A72">
          <w:rPr>
            <w:rStyle w:val="Hyperlink"/>
            <w:rFonts w:asciiTheme="majorHAnsi" w:hAnsiTheme="majorHAnsi" w:cstheme="majorHAnsi"/>
          </w:rPr>
          <w:t>https://www.heraldsun.com.au/news/law-order/tony-mokbels-drug-connections/newsstory/4362966e4a36961f72877f5649a4aec9?sv=58faef82768cf807b4bfaa462a5cca2</w:t>
        </w:r>
      </w:hyperlink>
      <w:r w:rsidR="000F2C7C">
        <w:rPr>
          <w:rFonts w:asciiTheme="majorHAnsi" w:hAnsiTheme="majorHAnsi" w:cstheme="majorHAnsi"/>
        </w:rPr>
        <w:t xml:space="preserve">&gt;. Accessed 18 September 2020. </w:t>
      </w:r>
    </w:p>
    <w:p w14:paraId="45DF07FA" w14:textId="1841D18C" w:rsidR="00863CDA" w:rsidRDefault="00863CDA" w:rsidP="006B2F5C">
      <w:pPr>
        <w:spacing w:line="360" w:lineRule="auto"/>
        <w:ind w:left="-426" w:right="-619"/>
        <w:jc w:val="both"/>
        <w:rPr>
          <w:rFonts w:asciiTheme="majorHAnsi" w:hAnsiTheme="majorHAnsi" w:cstheme="majorHAnsi"/>
        </w:rPr>
      </w:pPr>
    </w:p>
    <w:p w14:paraId="3010A587" w14:textId="39936BDF" w:rsidR="00863CDA" w:rsidRDefault="00863CDA" w:rsidP="006B2F5C">
      <w:pPr>
        <w:spacing w:line="360" w:lineRule="auto"/>
        <w:ind w:left="-426" w:right="-619"/>
        <w:jc w:val="both"/>
        <w:rPr>
          <w:rFonts w:asciiTheme="majorHAnsi" w:hAnsiTheme="majorHAnsi" w:cstheme="majorHAnsi"/>
        </w:rPr>
      </w:pPr>
      <w:r>
        <w:rPr>
          <w:rFonts w:asciiTheme="majorHAnsi" w:hAnsiTheme="majorHAnsi" w:cstheme="majorHAnsi"/>
        </w:rPr>
        <w:t>Napier, J. (2019)</w:t>
      </w:r>
      <w:r w:rsidR="00CA5830">
        <w:rPr>
          <w:rFonts w:asciiTheme="majorHAnsi" w:hAnsiTheme="majorHAnsi" w:cstheme="majorHAnsi"/>
        </w:rPr>
        <w:t xml:space="preserve">. </w:t>
      </w:r>
      <w:r w:rsidR="00CA5830" w:rsidRPr="007543CA">
        <w:rPr>
          <w:rFonts w:asciiTheme="majorHAnsi" w:hAnsiTheme="majorHAnsi" w:cstheme="majorHAnsi"/>
          <w:i/>
          <w:iCs/>
        </w:rPr>
        <w:t xml:space="preserve">Conflicting loyalties: a miscarriage of </w:t>
      </w:r>
      <w:proofErr w:type="gramStart"/>
      <w:r w:rsidR="00CA5830" w:rsidRPr="007543CA">
        <w:rPr>
          <w:rFonts w:asciiTheme="majorHAnsi" w:hAnsiTheme="majorHAnsi" w:cstheme="majorHAnsi"/>
          <w:i/>
          <w:iCs/>
        </w:rPr>
        <w:t>justice?:</w:t>
      </w:r>
      <w:proofErr w:type="gramEnd"/>
      <w:r w:rsidR="00CA5830" w:rsidRPr="007543CA">
        <w:rPr>
          <w:rFonts w:asciiTheme="majorHAnsi" w:hAnsiTheme="majorHAnsi" w:cstheme="majorHAnsi"/>
          <w:i/>
          <w:iCs/>
        </w:rPr>
        <w:t xml:space="preserve"> The case of lawyer X.</w:t>
      </w:r>
      <w:r w:rsidR="00BC76CE" w:rsidRPr="007543CA">
        <w:rPr>
          <w:rFonts w:asciiTheme="majorHAnsi" w:hAnsiTheme="majorHAnsi" w:cstheme="majorHAnsi"/>
          <w:i/>
          <w:iCs/>
        </w:rPr>
        <w:t xml:space="preserve"> v.41, no.4, May 2019, p.18-21,45</w:t>
      </w:r>
      <w:r w:rsidR="000535DD">
        <w:rPr>
          <w:rFonts w:asciiTheme="majorHAnsi" w:hAnsiTheme="majorHAnsi" w:cstheme="majorHAnsi"/>
        </w:rPr>
        <w:t xml:space="preserve">. Accessed 3 September 2020. </w:t>
      </w:r>
    </w:p>
    <w:p w14:paraId="679E15FD" w14:textId="4ACE4959" w:rsidR="001E7E60" w:rsidRDefault="001E7E60" w:rsidP="006B2F5C">
      <w:pPr>
        <w:spacing w:line="360" w:lineRule="auto"/>
        <w:ind w:left="-426" w:right="-619"/>
        <w:jc w:val="both"/>
        <w:rPr>
          <w:rFonts w:asciiTheme="majorHAnsi" w:hAnsiTheme="majorHAnsi" w:cstheme="majorHAnsi"/>
        </w:rPr>
      </w:pPr>
    </w:p>
    <w:p w14:paraId="1EC29288" w14:textId="7C8690E6" w:rsidR="009F5FD7" w:rsidRDefault="001E7E60" w:rsidP="009F5FD7">
      <w:pPr>
        <w:spacing w:line="360" w:lineRule="auto"/>
        <w:ind w:left="-426" w:right="-619"/>
        <w:rPr>
          <w:rFonts w:asciiTheme="majorHAnsi" w:hAnsiTheme="majorHAnsi" w:cstheme="majorHAnsi"/>
        </w:rPr>
      </w:pPr>
      <w:r>
        <w:rPr>
          <w:rFonts w:asciiTheme="majorHAnsi" w:hAnsiTheme="majorHAnsi" w:cstheme="majorHAnsi"/>
        </w:rPr>
        <w:t>Sutton, C (</w:t>
      </w:r>
      <w:r w:rsidR="009F5FD7">
        <w:rPr>
          <w:rFonts w:asciiTheme="majorHAnsi" w:hAnsiTheme="majorHAnsi" w:cstheme="majorHAnsi"/>
        </w:rPr>
        <w:t xml:space="preserve">2016). </w:t>
      </w:r>
      <w:r w:rsidR="009F5FD7" w:rsidRPr="009F5FD7">
        <w:rPr>
          <w:rFonts w:asciiTheme="majorHAnsi" w:hAnsiTheme="majorHAnsi" w:cstheme="majorHAnsi"/>
          <w:i/>
          <w:iCs/>
        </w:rPr>
        <w:t>Twelve years, 36 bodies: The 12-year gangland war between crime families and the Mafia that turned the streets bloody and Melbourne into a city of fear</w:t>
      </w:r>
      <w:r w:rsidR="009F5FD7">
        <w:rPr>
          <w:rFonts w:asciiTheme="majorHAnsi" w:hAnsiTheme="majorHAnsi" w:cstheme="majorHAnsi"/>
        </w:rPr>
        <w:t>. &lt;</w:t>
      </w:r>
      <w:r w:rsidR="009F5FD7" w:rsidRPr="009F5FD7">
        <w:rPr>
          <w:rFonts w:asciiTheme="majorHAnsi" w:hAnsiTheme="majorHAnsi" w:cstheme="majorHAnsi"/>
        </w:rPr>
        <w:t>https://www.dailymail.co.uk/news/article-3492643/Twelve-years-36-bodies-gangland-war-crime-families-mafia-turned-streets-bloody-Melbourne-city-fear.html</w:t>
      </w:r>
      <w:r w:rsidR="009F5FD7">
        <w:rPr>
          <w:rFonts w:asciiTheme="majorHAnsi" w:hAnsiTheme="majorHAnsi" w:cstheme="majorHAnsi"/>
        </w:rPr>
        <w:t xml:space="preserve">&gt;. Accessed 12 September 2020. </w:t>
      </w:r>
    </w:p>
    <w:p w14:paraId="35167EF1" w14:textId="3B10B992" w:rsidR="00DF067E" w:rsidRDefault="00DF067E" w:rsidP="006B2F5C">
      <w:pPr>
        <w:spacing w:line="360" w:lineRule="auto"/>
        <w:ind w:left="-426" w:right="-619"/>
        <w:jc w:val="both"/>
        <w:rPr>
          <w:rFonts w:asciiTheme="majorHAnsi" w:hAnsiTheme="majorHAnsi" w:cstheme="majorHAnsi"/>
        </w:rPr>
      </w:pPr>
    </w:p>
    <w:p w14:paraId="1E9F5EF5" w14:textId="1C5E5069" w:rsidR="00FE220E" w:rsidRDefault="00FE220E" w:rsidP="00E917CF">
      <w:pPr>
        <w:spacing w:line="360" w:lineRule="auto"/>
        <w:ind w:left="-426" w:right="-619"/>
        <w:rPr>
          <w:rFonts w:asciiTheme="majorHAnsi" w:hAnsiTheme="majorHAnsi" w:cstheme="majorHAnsi"/>
        </w:rPr>
      </w:pPr>
      <w:r>
        <w:rPr>
          <w:rFonts w:asciiTheme="majorHAnsi" w:hAnsiTheme="majorHAnsi" w:cstheme="majorHAnsi"/>
        </w:rPr>
        <w:t xml:space="preserve">Sweeney, K. (2020). </w:t>
      </w:r>
      <w:r w:rsidRPr="004F223E">
        <w:rPr>
          <w:rFonts w:asciiTheme="majorHAnsi" w:hAnsiTheme="majorHAnsi" w:cstheme="majorHAnsi"/>
          <w:i/>
          <w:iCs/>
        </w:rPr>
        <w:t>Lawyer X Nicola Gobbo’s appeal list grows</w:t>
      </w:r>
      <w:r w:rsidR="004F223E">
        <w:rPr>
          <w:rFonts w:asciiTheme="majorHAnsi" w:hAnsiTheme="majorHAnsi" w:cstheme="majorHAnsi"/>
        </w:rPr>
        <w:t>. &lt;</w:t>
      </w:r>
      <w:r w:rsidR="004F223E" w:rsidRPr="004F223E">
        <w:rPr>
          <w:rFonts w:asciiTheme="majorHAnsi" w:hAnsiTheme="majorHAnsi" w:cstheme="majorHAnsi"/>
        </w:rPr>
        <w:t>https://www.barossaherald.com.au/story/6753767/lawyer-x-nicola-gobbos-appeal-list-grows/?cs=7</w:t>
      </w:r>
      <w:r w:rsidR="004F223E">
        <w:rPr>
          <w:rFonts w:asciiTheme="majorHAnsi" w:hAnsiTheme="majorHAnsi" w:cstheme="majorHAnsi"/>
        </w:rPr>
        <w:t xml:space="preserve">&gt;. Accessed </w:t>
      </w:r>
      <w:r w:rsidR="00E917CF">
        <w:rPr>
          <w:rFonts w:asciiTheme="majorHAnsi" w:hAnsiTheme="majorHAnsi" w:cstheme="majorHAnsi"/>
        </w:rPr>
        <w:t xml:space="preserve">29 July 2020. </w:t>
      </w:r>
    </w:p>
    <w:p w14:paraId="693F94D3" w14:textId="473D43D6" w:rsidR="00BA0CD0" w:rsidRDefault="00BA0CD0" w:rsidP="00E917CF">
      <w:pPr>
        <w:spacing w:line="360" w:lineRule="auto"/>
        <w:ind w:left="-426" w:right="-619"/>
        <w:rPr>
          <w:rFonts w:asciiTheme="majorHAnsi" w:hAnsiTheme="majorHAnsi" w:cstheme="majorHAnsi"/>
        </w:rPr>
      </w:pPr>
    </w:p>
    <w:p w14:paraId="57687597" w14:textId="77777777" w:rsidR="00292515" w:rsidRDefault="00292515" w:rsidP="00292515">
      <w:pPr>
        <w:spacing w:line="360" w:lineRule="auto"/>
        <w:ind w:left="-426" w:right="-619"/>
        <w:jc w:val="both"/>
        <w:rPr>
          <w:rFonts w:asciiTheme="majorHAnsi" w:hAnsiTheme="majorHAnsi" w:cstheme="majorHAnsi"/>
        </w:rPr>
      </w:pPr>
      <w:r>
        <w:rPr>
          <w:rFonts w:asciiTheme="majorHAnsi" w:hAnsiTheme="majorHAnsi" w:cstheme="majorHAnsi"/>
        </w:rPr>
        <w:t xml:space="preserve">Taylor, J. (2020). </w:t>
      </w:r>
      <w:r w:rsidRPr="00B80AD5">
        <w:rPr>
          <w:rFonts w:asciiTheme="majorHAnsi" w:hAnsiTheme="majorHAnsi" w:cstheme="majorHAnsi"/>
          <w:i/>
          <w:iCs/>
        </w:rPr>
        <w:t>Nicola Gobbo explains why she became Lawyer X and informed for police</w:t>
      </w:r>
      <w:r>
        <w:rPr>
          <w:rFonts w:asciiTheme="majorHAnsi" w:hAnsiTheme="majorHAnsi" w:cstheme="majorHAnsi"/>
        </w:rPr>
        <w:t>. &lt;</w:t>
      </w:r>
      <w:r w:rsidRPr="009A2177">
        <w:t xml:space="preserve"> </w:t>
      </w:r>
      <w:hyperlink r:id="rId11" w:history="1">
        <w:r w:rsidRPr="00625A72">
          <w:rPr>
            <w:rStyle w:val="Hyperlink"/>
            <w:rFonts w:asciiTheme="majorHAnsi" w:hAnsiTheme="majorHAnsi" w:cstheme="majorHAnsi"/>
          </w:rPr>
          <w:t>https://www.abc.net.au/news/2020-09-09/nicola-gobbo-why-she-became-lawyer-x/12618940</w:t>
        </w:r>
      </w:hyperlink>
      <w:r>
        <w:rPr>
          <w:rFonts w:asciiTheme="majorHAnsi" w:hAnsiTheme="majorHAnsi" w:cstheme="majorHAnsi"/>
        </w:rPr>
        <w:t xml:space="preserve">&gt;. Accessed 7 September 2020. </w:t>
      </w:r>
    </w:p>
    <w:p w14:paraId="22D819F4" w14:textId="77777777" w:rsidR="00292515" w:rsidRDefault="00292515" w:rsidP="00292515">
      <w:pPr>
        <w:spacing w:line="360" w:lineRule="auto"/>
        <w:ind w:right="-619"/>
        <w:rPr>
          <w:rFonts w:asciiTheme="majorHAnsi" w:hAnsiTheme="majorHAnsi" w:cstheme="majorHAnsi"/>
        </w:rPr>
      </w:pPr>
    </w:p>
    <w:p w14:paraId="146032C6" w14:textId="0395BF4A" w:rsidR="00BA0CD0" w:rsidRDefault="00BA0CD0" w:rsidP="00E917CF">
      <w:pPr>
        <w:spacing w:line="360" w:lineRule="auto"/>
        <w:ind w:left="-426" w:right="-619"/>
        <w:rPr>
          <w:rFonts w:asciiTheme="majorHAnsi" w:hAnsiTheme="majorHAnsi" w:cstheme="majorHAnsi"/>
        </w:rPr>
      </w:pPr>
      <w:r>
        <w:rPr>
          <w:rFonts w:asciiTheme="majorHAnsi" w:hAnsiTheme="majorHAnsi" w:cstheme="majorHAnsi"/>
        </w:rPr>
        <w:t xml:space="preserve">The Law Society of New South Wales </w:t>
      </w:r>
      <w:r w:rsidR="008F3DCE">
        <w:rPr>
          <w:rFonts w:asciiTheme="majorHAnsi" w:hAnsiTheme="majorHAnsi" w:cstheme="majorHAnsi"/>
        </w:rPr>
        <w:t xml:space="preserve">(2015). </w:t>
      </w:r>
      <w:r w:rsidR="00947734" w:rsidRPr="00E3193E">
        <w:rPr>
          <w:rFonts w:asciiTheme="majorHAnsi" w:hAnsiTheme="majorHAnsi" w:cstheme="majorHAnsi"/>
          <w:i/>
          <w:iCs/>
        </w:rPr>
        <w:t>Duties to clients</w:t>
      </w:r>
      <w:r w:rsidR="00E3193E" w:rsidRPr="00E3193E">
        <w:rPr>
          <w:rFonts w:asciiTheme="majorHAnsi" w:hAnsiTheme="majorHAnsi" w:cstheme="majorHAnsi"/>
          <w:i/>
          <w:iCs/>
        </w:rPr>
        <w:t>: confidentiality</w:t>
      </w:r>
      <w:r w:rsidR="00947734">
        <w:rPr>
          <w:rFonts w:asciiTheme="majorHAnsi" w:hAnsiTheme="majorHAnsi" w:cstheme="majorHAnsi"/>
        </w:rPr>
        <w:t>.</w:t>
      </w:r>
      <w:r w:rsidR="00E3193E">
        <w:rPr>
          <w:rFonts w:asciiTheme="majorHAnsi" w:hAnsiTheme="majorHAnsi" w:cstheme="majorHAnsi"/>
        </w:rPr>
        <w:t xml:space="preserve"> &lt;</w:t>
      </w:r>
      <w:r w:rsidR="00E3193E" w:rsidRPr="00E3193E">
        <w:rPr>
          <w:rFonts w:asciiTheme="majorHAnsi" w:hAnsiTheme="majorHAnsi" w:cstheme="majorHAnsi"/>
        </w:rPr>
        <w:t>https://www.lawsociety.com.au/for-the-public/going-court-and-working-with-lawyers/solicitor-client-relationship/solicitors-duties-to-clients</w:t>
      </w:r>
      <w:r w:rsidR="00E3193E">
        <w:rPr>
          <w:rFonts w:asciiTheme="majorHAnsi" w:hAnsiTheme="majorHAnsi" w:cstheme="majorHAnsi"/>
        </w:rPr>
        <w:t xml:space="preserve">&gt;. Accessed </w:t>
      </w:r>
      <w:r w:rsidR="00132273">
        <w:rPr>
          <w:rFonts w:asciiTheme="majorHAnsi" w:hAnsiTheme="majorHAnsi" w:cstheme="majorHAnsi"/>
        </w:rPr>
        <w:t xml:space="preserve">30 July 2020. </w:t>
      </w:r>
      <w:r w:rsidR="00E3193E">
        <w:rPr>
          <w:rFonts w:asciiTheme="majorHAnsi" w:hAnsiTheme="majorHAnsi" w:cstheme="majorHAnsi"/>
        </w:rPr>
        <w:t xml:space="preserve"> </w:t>
      </w:r>
      <w:r w:rsidR="00947734">
        <w:rPr>
          <w:rFonts w:asciiTheme="majorHAnsi" w:hAnsiTheme="majorHAnsi" w:cstheme="majorHAnsi"/>
        </w:rPr>
        <w:t xml:space="preserve"> </w:t>
      </w:r>
    </w:p>
    <w:p w14:paraId="29F0725A" w14:textId="77777777" w:rsidR="00FE220E" w:rsidRDefault="00FE220E" w:rsidP="00A11F37">
      <w:pPr>
        <w:spacing w:line="360" w:lineRule="auto"/>
        <w:ind w:left="-426" w:right="-619"/>
        <w:jc w:val="both"/>
        <w:rPr>
          <w:rFonts w:asciiTheme="majorHAnsi" w:hAnsiTheme="majorHAnsi" w:cstheme="majorHAnsi"/>
        </w:rPr>
      </w:pPr>
    </w:p>
    <w:p w14:paraId="076101F0" w14:textId="01849FAC" w:rsidR="005E4526" w:rsidRDefault="00AE4838" w:rsidP="005E4526">
      <w:pPr>
        <w:spacing w:line="360" w:lineRule="auto"/>
        <w:ind w:left="-426" w:right="-619"/>
        <w:jc w:val="both"/>
        <w:rPr>
          <w:rFonts w:asciiTheme="majorHAnsi" w:hAnsiTheme="majorHAnsi" w:cstheme="majorHAnsi"/>
        </w:rPr>
      </w:pPr>
      <w:proofErr w:type="spellStart"/>
      <w:r>
        <w:rPr>
          <w:rFonts w:asciiTheme="majorHAnsi" w:hAnsiTheme="majorHAnsi" w:cstheme="majorHAnsi"/>
        </w:rPr>
        <w:t>Vedelago</w:t>
      </w:r>
      <w:proofErr w:type="spellEnd"/>
      <w:r>
        <w:rPr>
          <w:rFonts w:asciiTheme="majorHAnsi" w:hAnsiTheme="majorHAnsi" w:cstheme="majorHAnsi"/>
        </w:rPr>
        <w:t xml:space="preserve">, </w:t>
      </w:r>
      <w:r w:rsidR="005E4526">
        <w:rPr>
          <w:rFonts w:asciiTheme="majorHAnsi" w:hAnsiTheme="majorHAnsi" w:cstheme="majorHAnsi"/>
        </w:rPr>
        <w:t xml:space="preserve">C. (2020). </w:t>
      </w:r>
      <w:r w:rsidR="005E4526" w:rsidRPr="005E4526">
        <w:rPr>
          <w:rFonts w:asciiTheme="majorHAnsi" w:hAnsiTheme="majorHAnsi" w:cstheme="majorHAnsi"/>
        </w:rPr>
        <w:t>Gobbo complaints have 'air of unreality', says royal commission lawyer</w:t>
      </w:r>
      <w:r w:rsidR="005E4526">
        <w:rPr>
          <w:rFonts w:asciiTheme="majorHAnsi" w:hAnsiTheme="majorHAnsi" w:cstheme="majorHAnsi"/>
        </w:rPr>
        <w:t>. &lt;</w:t>
      </w:r>
      <w:r w:rsidR="005E4526" w:rsidRPr="005E4526">
        <w:t xml:space="preserve"> </w:t>
      </w:r>
      <w:hyperlink r:id="rId12" w:history="1">
        <w:r w:rsidR="005E4526" w:rsidRPr="00625A72">
          <w:rPr>
            <w:rStyle w:val="Hyperlink"/>
            <w:rFonts w:asciiTheme="majorHAnsi" w:hAnsiTheme="majorHAnsi" w:cstheme="majorHAnsi"/>
          </w:rPr>
          <w:t>https://www.theage.com.au/national/victoria/gobbo-complaints-have-air-of-unreality-says-royal-commission-lawyer-20200928-p5601n.html</w:t>
        </w:r>
      </w:hyperlink>
      <w:r w:rsidR="005E4526">
        <w:rPr>
          <w:rFonts w:asciiTheme="majorHAnsi" w:hAnsiTheme="majorHAnsi" w:cstheme="majorHAnsi"/>
        </w:rPr>
        <w:t>&gt;. Accessed 2</w:t>
      </w:r>
      <w:r w:rsidR="0052757D">
        <w:rPr>
          <w:rFonts w:asciiTheme="majorHAnsi" w:hAnsiTheme="majorHAnsi" w:cstheme="majorHAnsi"/>
        </w:rPr>
        <w:t>8</w:t>
      </w:r>
      <w:r w:rsidR="005E4526">
        <w:rPr>
          <w:rFonts w:asciiTheme="majorHAnsi" w:hAnsiTheme="majorHAnsi" w:cstheme="majorHAnsi"/>
        </w:rPr>
        <w:t xml:space="preserve"> September</w:t>
      </w:r>
      <w:r w:rsidR="0052757D">
        <w:rPr>
          <w:rFonts w:asciiTheme="majorHAnsi" w:hAnsiTheme="majorHAnsi" w:cstheme="majorHAnsi"/>
        </w:rPr>
        <w:t xml:space="preserve"> 2020.</w:t>
      </w:r>
    </w:p>
    <w:p w14:paraId="57EE46ED" w14:textId="6B23C9D6" w:rsidR="00284F61" w:rsidRDefault="00284F61" w:rsidP="005E4526">
      <w:pPr>
        <w:spacing w:line="360" w:lineRule="auto"/>
        <w:ind w:left="-426" w:right="-619"/>
        <w:jc w:val="both"/>
        <w:rPr>
          <w:rFonts w:asciiTheme="majorHAnsi" w:hAnsiTheme="majorHAnsi" w:cstheme="majorHAnsi"/>
        </w:rPr>
      </w:pPr>
    </w:p>
    <w:p w14:paraId="496C6B58" w14:textId="0A86D136" w:rsidR="000B14BF" w:rsidRPr="000B14BF" w:rsidRDefault="00284F61" w:rsidP="000B14BF">
      <w:pPr>
        <w:spacing w:line="360" w:lineRule="auto"/>
        <w:ind w:left="-426" w:right="-619"/>
        <w:jc w:val="both"/>
        <w:rPr>
          <w:rFonts w:asciiTheme="majorHAnsi" w:hAnsiTheme="majorHAnsi" w:cstheme="majorHAnsi"/>
        </w:rPr>
      </w:pPr>
      <w:proofErr w:type="spellStart"/>
      <w:r>
        <w:rPr>
          <w:rFonts w:asciiTheme="majorHAnsi" w:hAnsiTheme="majorHAnsi" w:cstheme="majorHAnsi"/>
        </w:rPr>
        <w:lastRenderedPageBreak/>
        <w:t>Vinall</w:t>
      </w:r>
      <w:proofErr w:type="spellEnd"/>
      <w:r>
        <w:rPr>
          <w:rFonts w:asciiTheme="majorHAnsi" w:hAnsiTheme="majorHAnsi" w:cstheme="majorHAnsi"/>
        </w:rPr>
        <w:t xml:space="preserve">, </w:t>
      </w:r>
      <w:r w:rsidR="000B14BF">
        <w:rPr>
          <w:rFonts w:asciiTheme="majorHAnsi" w:hAnsiTheme="majorHAnsi" w:cstheme="majorHAnsi"/>
        </w:rPr>
        <w:t xml:space="preserve">F. (2020). </w:t>
      </w:r>
      <w:r w:rsidR="000B14BF" w:rsidRPr="000B14BF">
        <w:rPr>
          <w:rFonts w:asciiTheme="majorHAnsi" w:hAnsiTheme="majorHAnsi" w:cstheme="majorHAnsi"/>
        </w:rPr>
        <w:t>Lawyer X cop to be named in ‘one of the greatest scandals of our time’</w:t>
      </w:r>
      <w:r w:rsidR="000B14BF">
        <w:rPr>
          <w:rFonts w:asciiTheme="majorHAnsi" w:hAnsiTheme="majorHAnsi" w:cstheme="majorHAnsi"/>
        </w:rPr>
        <w:t>. &lt;</w:t>
      </w:r>
      <w:r w:rsidR="000B14BF" w:rsidRPr="000B14BF">
        <w:t xml:space="preserve"> </w:t>
      </w:r>
      <w:hyperlink r:id="rId13" w:history="1">
        <w:r w:rsidR="000B14BF" w:rsidRPr="00625A72">
          <w:rPr>
            <w:rStyle w:val="Hyperlink"/>
            <w:rFonts w:asciiTheme="majorHAnsi" w:hAnsiTheme="majorHAnsi" w:cstheme="majorHAnsi"/>
          </w:rPr>
          <w:t>https://www.news.com.au/national/victoria/courts-law/lawyer-x-cop-to-be-named-in-one-of-the-greatest-scandals-of-our-time/news-story/71f853a076214853ef31531ff9d180c6</w:t>
        </w:r>
      </w:hyperlink>
      <w:r w:rsidR="000B14BF">
        <w:rPr>
          <w:rFonts w:asciiTheme="majorHAnsi" w:hAnsiTheme="majorHAnsi" w:cstheme="majorHAnsi"/>
        </w:rPr>
        <w:t xml:space="preserve">&gt;. </w:t>
      </w:r>
    </w:p>
    <w:p w14:paraId="079C6525" w14:textId="3CCBB2B0" w:rsidR="00AE4838" w:rsidRDefault="00284F61" w:rsidP="000B14BF">
      <w:pPr>
        <w:spacing w:line="360" w:lineRule="auto"/>
        <w:ind w:left="-426" w:right="-619"/>
        <w:jc w:val="both"/>
        <w:rPr>
          <w:rFonts w:asciiTheme="majorHAnsi" w:hAnsiTheme="majorHAnsi" w:cstheme="majorHAnsi"/>
        </w:rPr>
      </w:pPr>
      <w:r>
        <w:rPr>
          <w:rFonts w:asciiTheme="majorHAnsi" w:hAnsiTheme="majorHAnsi" w:cstheme="majorHAnsi"/>
        </w:rPr>
        <w:t xml:space="preserve"> </w:t>
      </w:r>
    </w:p>
    <w:p w14:paraId="4BF7A185" w14:textId="7BED52CE" w:rsidR="00712420" w:rsidRDefault="00DF067E" w:rsidP="00A11F37">
      <w:pPr>
        <w:spacing w:line="360" w:lineRule="auto"/>
        <w:ind w:left="-426" w:right="-619"/>
        <w:jc w:val="both"/>
        <w:rPr>
          <w:rFonts w:asciiTheme="majorHAnsi" w:hAnsiTheme="majorHAnsi" w:cstheme="majorHAnsi"/>
        </w:rPr>
      </w:pPr>
      <w:proofErr w:type="spellStart"/>
      <w:r>
        <w:rPr>
          <w:rFonts w:asciiTheme="majorHAnsi" w:hAnsiTheme="majorHAnsi" w:cstheme="majorHAnsi"/>
        </w:rPr>
        <w:t>W</w:t>
      </w:r>
      <w:r w:rsidR="00036BD2">
        <w:rPr>
          <w:rFonts w:asciiTheme="majorHAnsi" w:hAnsiTheme="majorHAnsi" w:cstheme="majorHAnsi"/>
        </w:rPr>
        <w:t>ahlquist</w:t>
      </w:r>
      <w:proofErr w:type="spellEnd"/>
      <w:r w:rsidR="00036BD2">
        <w:rPr>
          <w:rFonts w:asciiTheme="majorHAnsi" w:hAnsiTheme="majorHAnsi" w:cstheme="majorHAnsi"/>
        </w:rPr>
        <w:t xml:space="preserve">, </w:t>
      </w:r>
      <w:r w:rsidR="00A11F37">
        <w:rPr>
          <w:rFonts w:asciiTheme="majorHAnsi" w:hAnsiTheme="majorHAnsi" w:cstheme="majorHAnsi"/>
        </w:rPr>
        <w:t xml:space="preserve">C. (2020). </w:t>
      </w:r>
      <w:r w:rsidR="00A11F37" w:rsidRPr="00A11F37">
        <w:rPr>
          <w:rFonts w:asciiTheme="majorHAnsi" w:hAnsiTheme="majorHAnsi" w:cstheme="majorHAnsi"/>
          <w:i/>
          <w:iCs/>
        </w:rPr>
        <w:t>Lawyer X: how Victoria police got it 'profoundly wrong' with informant Nicola Gobbo</w:t>
      </w:r>
      <w:r w:rsidR="00060008">
        <w:rPr>
          <w:rFonts w:asciiTheme="majorHAnsi" w:hAnsiTheme="majorHAnsi" w:cstheme="majorHAnsi"/>
        </w:rPr>
        <w:t>. &lt;</w:t>
      </w:r>
      <w:r w:rsidR="00060008" w:rsidRPr="00060008">
        <w:rPr>
          <w:rFonts w:asciiTheme="majorHAnsi" w:hAnsiTheme="majorHAnsi" w:cstheme="majorHAnsi"/>
        </w:rPr>
        <w:t>https://www.theguardian.com/australia-news/2020/sep/05/lawyer-x-how-victoria-police-got-it-profoundly-wrong-with-informant-nicola-gobbo</w:t>
      </w:r>
      <w:r w:rsidR="00060008">
        <w:rPr>
          <w:rFonts w:asciiTheme="majorHAnsi" w:hAnsiTheme="majorHAnsi" w:cstheme="majorHAnsi"/>
        </w:rPr>
        <w:t xml:space="preserve">&gt;. Accessed </w:t>
      </w:r>
      <w:r w:rsidR="00712420">
        <w:rPr>
          <w:rFonts w:asciiTheme="majorHAnsi" w:hAnsiTheme="majorHAnsi" w:cstheme="majorHAnsi"/>
        </w:rPr>
        <w:t>5 September 2020.</w:t>
      </w:r>
    </w:p>
    <w:p w14:paraId="5A8E96C1" w14:textId="2B3A55F0" w:rsidR="00D72E1B" w:rsidRDefault="00D72E1B" w:rsidP="00A11F37">
      <w:pPr>
        <w:spacing w:line="360" w:lineRule="auto"/>
        <w:ind w:left="-426" w:right="-619"/>
        <w:jc w:val="both"/>
        <w:rPr>
          <w:rFonts w:asciiTheme="majorHAnsi" w:hAnsiTheme="majorHAnsi" w:cstheme="majorHAnsi"/>
        </w:rPr>
      </w:pPr>
    </w:p>
    <w:p w14:paraId="136ED7CA" w14:textId="5B0D2113" w:rsidR="00E417D3" w:rsidRPr="00E417D3" w:rsidRDefault="00D72E1B" w:rsidP="00E417D3">
      <w:pPr>
        <w:spacing w:line="360" w:lineRule="auto"/>
        <w:ind w:left="-426" w:right="-619"/>
        <w:jc w:val="both"/>
        <w:rPr>
          <w:rFonts w:asciiTheme="majorHAnsi" w:hAnsiTheme="majorHAnsi" w:cstheme="majorHAnsi"/>
        </w:rPr>
      </w:pPr>
      <w:r>
        <w:rPr>
          <w:rFonts w:asciiTheme="majorHAnsi" w:hAnsiTheme="majorHAnsi" w:cstheme="majorHAnsi"/>
        </w:rPr>
        <w:t>Woodhouse, P. (</w:t>
      </w:r>
      <w:r w:rsidR="00E417D3">
        <w:rPr>
          <w:rFonts w:asciiTheme="majorHAnsi" w:hAnsiTheme="majorHAnsi" w:cstheme="majorHAnsi"/>
        </w:rPr>
        <w:t xml:space="preserve">2020). </w:t>
      </w:r>
      <w:r w:rsidR="00E417D3" w:rsidRPr="00E417D3">
        <w:rPr>
          <w:rFonts w:asciiTheme="majorHAnsi" w:hAnsiTheme="majorHAnsi" w:cstheme="majorHAnsi"/>
        </w:rPr>
        <w:t>Lawyer X: from the perspective of a criminal defence lawyer</w:t>
      </w:r>
      <w:r w:rsidR="00E417D3">
        <w:rPr>
          <w:rFonts w:asciiTheme="majorHAnsi" w:hAnsiTheme="majorHAnsi" w:cstheme="majorHAnsi"/>
        </w:rPr>
        <w:t>. &lt;</w:t>
      </w:r>
      <w:r w:rsidR="00E417D3" w:rsidRPr="00E417D3">
        <w:t xml:space="preserve"> </w:t>
      </w:r>
      <w:hyperlink r:id="rId14" w:history="1">
        <w:r w:rsidR="00E417D3" w:rsidRPr="00625A72">
          <w:rPr>
            <w:rStyle w:val="Hyperlink"/>
            <w:rFonts w:asciiTheme="majorHAnsi" w:hAnsiTheme="majorHAnsi" w:cstheme="majorHAnsi"/>
          </w:rPr>
          <w:t>https://aulich.com.au/lawyer-x-update/</w:t>
        </w:r>
      </w:hyperlink>
      <w:r w:rsidR="00E417D3">
        <w:rPr>
          <w:rFonts w:asciiTheme="majorHAnsi" w:hAnsiTheme="majorHAnsi" w:cstheme="majorHAnsi"/>
        </w:rPr>
        <w:t xml:space="preserve">&gt;. Accessed 10 September 2020. </w:t>
      </w:r>
    </w:p>
    <w:p w14:paraId="71BE444C" w14:textId="2B4F0588" w:rsidR="0095152D" w:rsidRDefault="0095152D" w:rsidP="00E417D3">
      <w:pPr>
        <w:spacing w:line="360" w:lineRule="auto"/>
        <w:ind w:right="-619"/>
        <w:jc w:val="both"/>
        <w:rPr>
          <w:rFonts w:asciiTheme="majorHAnsi" w:hAnsiTheme="majorHAnsi" w:cstheme="majorHAnsi"/>
        </w:rPr>
      </w:pPr>
    </w:p>
    <w:p w14:paraId="196AD64D" w14:textId="1BE11659" w:rsidR="00FA0920" w:rsidRDefault="0095152D" w:rsidP="00FA0920">
      <w:pPr>
        <w:spacing w:line="360" w:lineRule="auto"/>
        <w:ind w:left="-426" w:right="-619"/>
        <w:jc w:val="both"/>
        <w:rPr>
          <w:rFonts w:asciiTheme="majorHAnsi" w:hAnsiTheme="majorHAnsi" w:cstheme="majorHAnsi"/>
        </w:rPr>
      </w:pPr>
      <w:r>
        <w:rPr>
          <w:rFonts w:asciiTheme="majorHAnsi" w:hAnsiTheme="majorHAnsi" w:cstheme="majorHAnsi"/>
        </w:rPr>
        <w:t xml:space="preserve">Younger, </w:t>
      </w:r>
      <w:r w:rsidR="00FA0920">
        <w:rPr>
          <w:rFonts w:asciiTheme="majorHAnsi" w:hAnsiTheme="majorHAnsi" w:cstheme="majorHAnsi"/>
        </w:rPr>
        <w:t xml:space="preserve">E. (2017). </w:t>
      </w:r>
      <w:r w:rsidR="00FA0920" w:rsidRPr="00FA0920">
        <w:rPr>
          <w:rFonts w:asciiTheme="majorHAnsi" w:hAnsiTheme="majorHAnsi" w:cstheme="majorHAnsi"/>
          <w:i/>
          <w:iCs/>
        </w:rPr>
        <w:t xml:space="preserve">Hitman hired by Carl Williams, Stephen John </w:t>
      </w:r>
      <w:proofErr w:type="spellStart"/>
      <w:r w:rsidR="00FA0920" w:rsidRPr="00FA0920">
        <w:rPr>
          <w:rFonts w:asciiTheme="majorHAnsi" w:hAnsiTheme="majorHAnsi" w:cstheme="majorHAnsi"/>
          <w:i/>
          <w:iCs/>
        </w:rPr>
        <w:t>Asling</w:t>
      </w:r>
      <w:proofErr w:type="spellEnd"/>
      <w:r w:rsidR="00FA0920" w:rsidRPr="00FA0920">
        <w:rPr>
          <w:rFonts w:asciiTheme="majorHAnsi" w:hAnsiTheme="majorHAnsi" w:cstheme="majorHAnsi"/>
          <w:i/>
          <w:iCs/>
        </w:rPr>
        <w:t>, jailed for gangland figure's murder</w:t>
      </w:r>
      <w:r w:rsidR="00FA0920">
        <w:rPr>
          <w:rFonts w:asciiTheme="majorHAnsi" w:hAnsiTheme="majorHAnsi" w:cstheme="majorHAnsi"/>
        </w:rPr>
        <w:t>. &lt;</w:t>
      </w:r>
      <w:hyperlink r:id="rId15" w:history="1">
        <w:r w:rsidR="00FA0920" w:rsidRPr="00625A72">
          <w:rPr>
            <w:rStyle w:val="Hyperlink"/>
            <w:rFonts w:asciiTheme="majorHAnsi" w:hAnsiTheme="majorHAnsi" w:cstheme="majorHAnsi"/>
          </w:rPr>
          <w:t>https://www.abc.net.au/news/2017-04-21/stephen-john-asling-sentenced-gangland-graham-kinniburgh/8460424</w:t>
        </w:r>
      </w:hyperlink>
      <w:r w:rsidR="00FA0920">
        <w:rPr>
          <w:rFonts w:asciiTheme="majorHAnsi" w:hAnsiTheme="majorHAnsi" w:cstheme="majorHAnsi"/>
        </w:rPr>
        <w:t xml:space="preserve">&gt;. Accessed </w:t>
      </w:r>
      <w:r w:rsidR="00D555E0">
        <w:rPr>
          <w:rFonts w:asciiTheme="majorHAnsi" w:hAnsiTheme="majorHAnsi" w:cstheme="majorHAnsi"/>
        </w:rPr>
        <w:t xml:space="preserve">10 September 2020. </w:t>
      </w:r>
    </w:p>
    <w:p w14:paraId="25231EBD" w14:textId="4F5EFA4C" w:rsidR="005576B0" w:rsidRDefault="005576B0" w:rsidP="00FA0920">
      <w:pPr>
        <w:spacing w:line="360" w:lineRule="auto"/>
        <w:ind w:left="-426" w:right="-619"/>
        <w:jc w:val="both"/>
        <w:rPr>
          <w:rFonts w:asciiTheme="majorHAnsi" w:hAnsiTheme="majorHAnsi" w:cstheme="majorHAnsi"/>
        </w:rPr>
      </w:pPr>
    </w:p>
    <w:p w14:paraId="09B513F3" w14:textId="77777777" w:rsidR="005576B0" w:rsidRDefault="005576B0" w:rsidP="00FA0920">
      <w:pPr>
        <w:spacing w:line="360" w:lineRule="auto"/>
        <w:ind w:left="-426" w:right="-619"/>
        <w:jc w:val="both"/>
        <w:rPr>
          <w:rFonts w:asciiTheme="majorHAnsi" w:hAnsiTheme="majorHAnsi" w:cstheme="majorHAnsi"/>
        </w:rPr>
      </w:pPr>
    </w:p>
    <w:p w14:paraId="28E46CA3" w14:textId="5E287C4F" w:rsidR="00AD64DC" w:rsidRDefault="00AD64DC" w:rsidP="00FA0920">
      <w:pPr>
        <w:spacing w:line="360" w:lineRule="auto"/>
        <w:ind w:left="-426" w:right="-619"/>
        <w:jc w:val="both"/>
        <w:rPr>
          <w:rFonts w:asciiTheme="majorHAnsi" w:hAnsiTheme="majorHAnsi" w:cstheme="majorHAnsi"/>
        </w:rPr>
      </w:pPr>
    </w:p>
    <w:p w14:paraId="5235CD65" w14:textId="77777777" w:rsidR="00AD64DC" w:rsidRDefault="00AD64DC" w:rsidP="00FA0920">
      <w:pPr>
        <w:spacing w:line="360" w:lineRule="auto"/>
        <w:ind w:left="-426" w:right="-619"/>
        <w:jc w:val="both"/>
        <w:rPr>
          <w:rFonts w:asciiTheme="majorHAnsi" w:hAnsiTheme="majorHAnsi" w:cstheme="majorHAnsi"/>
        </w:rPr>
      </w:pPr>
    </w:p>
    <w:p w14:paraId="6DB5EC50" w14:textId="7737A76E" w:rsidR="00D555E0" w:rsidRDefault="00D555E0" w:rsidP="00FA0920">
      <w:pPr>
        <w:spacing w:line="360" w:lineRule="auto"/>
        <w:ind w:left="-426" w:right="-619"/>
        <w:jc w:val="both"/>
        <w:rPr>
          <w:rFonts w:asciiTheme="majorHAnsi" w:hAnsiTheme="majorHAnsi" w:cstheme="majorHAnsi"/>
        </w:rPr>
      </w:pPr>
    </w:p>
    <w:p w14:paraId="2D1F163B" w14:textId="77777777" w:rsidR="00D555E0" w:rsidRPr="00FA0920" w:rsidRDefault="00D555E0" w:rsidP="00FA0920">
      <w:pPr>
        <w:spacing w:line="360" w:lineRule="auto"/>
        <w:ind w:left="-426" w:right="-619"/>
        <w:jc w:val="both"/>
        <w:rPr>
          <w:rFonts w:asciiTheme="majorHAnsi" w:hAnsiTheme="majorHAnsi" w:cstheme="majorHAnsi"/>
        </w:rPr>
      </w:pPr>
    </w:p>
    <w:p w14:paraId="2DEA8CA7" w14:textId="77777777" w:rsidR="00FA0920" w:rsidRDefault="00FA0920" w:rsidP="00A11F37">
      <w:pPr>
        <w:spacing w:line="360" w:lineRule="auto"/>
        <w:ind w:left="-426" w:right="-619"/>
        <w:jc w:val="both"/>
        <w:rPr>
          <w:rFonts w:asciiTheme="majorHAnsi" w:hAnsiTheme="majorHAnsi" w:cstheme="majorHAnsi"/>
        </w:rPr>
      </w:pPr>
    </w:p>
    <w:p w14:paraId="25A74711" w14:textId="24E6CC2B" w:rsidR="00B80AD5" w:rsidRDefault="00B80AD5" w:rsidP="00A11F37">
      <w:pPr>
        <w:spacing w:line="360" w:lineRule="auto"/>
        <w:ind w:left="-426" w:right="-619"/>
        <w:jc w:val="both"/>
        <w:rPr>
          <w:rFonts w:asciiTheme="majorHAnsi" w:hAnsiTheme="majorHAnsi" w:cstheme="majorHAnsi"/>
        </w:rPr>
      </w:pPr>
    </w:p>
    <w:p w14:paraId="340B8644" w14:textId="392AAB0E" w:rsidR="009A2177" w:rsidRDefault="009A2177" w:rsidP="00B80AD5">
      <w:pPr>
        <w:spacing w:line="360" w:lineRule="auto"/>
        <w:ind w:left="-426" w:right="-619"/>
        <w:jc w:val="both"/>
        <w:rPr>
          <w:rFonts w:asciiTheme="majorHAnsi" w:hAnsiTheme="majorHAnsi" w:cstheme="majorHAnsi"/>
        </w:rPr>
      </w:pPr>
    </w:p>
    <w:p w14:paraId="34F11573" w14:textId="77777777" w:rsidR="009A2177" w:rsidRPr="00B80AD5" w:rsidRDefault="009A2177" w:rsidP="00B80AD5">
      <w:pPr>
        <w:spacing w:line="360" w:lineRule="auto"/>
        <w:ind w:left="-426" w:right="-619"/>
        <w:jc w:val="both"/>
        <w:rPr>
          <w:rFonts w:asciiTheme="majorHAnsi" w:hAnsiTheme="majorHAnsi" w:cstheme="majorHAnsi"/>
        </w:rPr>
      </w:pPr>
    </w:p>
    <w:p w14:paraId="218F59B6" w14:textId="77777777" w:rsidR="00B80AD5" w:rsidRDefault="00B80AD5" w:rsidP="00A11F37">
      <w:pPr>
        <w:spacing w:line="360" w:lineRule="auto"/>
        <w:ind w:left="-426" w:right="-619"/>
        <w:jc w:val="both"/>
        <w:rPr>
          <w:rFonts w:asciiTheme="majorHAnsi" w:hAnsiTheme="majorHAnsi" w:cstheme="majorHAnsi"/>
        </w:rPr>
      </w:pPr>
    </w:p>
    <w:p w14:paraId="40660551" w14:textId="77777777" w:rsidR="00B80AD5" w:rsidRDefault="00B80AD5" w:rsidP="00A11F37">
      <w:pPr>
        <w:spacing w:line="360" w:lineRule="auto"/>
        <w:ind w:left="-426" w:right="-619"/>
        <w:jc w:val="both"/>
        <w:rPr>
          <w:rFonts w:asciiTheme="majorHAnsi" w:hAnsiTheme="majorHAnsi" w:cstheme="majorHAnsi"/>
        </w:rPr>
      </w:pPr>
    </w:p>
    <w:p w14:paraId="350875EE" w14:textId="20A0FCD6" w:rsidR="007F42F1" w:rsidRDefault="007F42F1" w:rsidP="00A11F37">
      <w:pPr>
        <w:spacing w:line="360" w:lineRule="auto"/>
        <w:ind w:left="-426" w:right="-619"/>
        <w:jc w:val="both"/>
        <w:rPr>
          <w:rFonts w:asciiTheme="majorHAnsi" w:hAnsiTheme="majorHAnsi" w:cstheme="majorHAnsi"/>
        </w:rPr>
      </w:pPr>
    </w:p>
    <w:p w14:paraId="5B105B42" w14:textId="77777777" w:rsidR="007F42F1" w:rsidRDefault="007F42F1" w:rsidP="00A11F37">
      <w:pPr>
        <w:spacing w:line="360" w:lineRule="auto"/>
        <w:ind w:left="-426" w:right="-619"/>
        <w:jc w:val="both"/>
        <w:rPr>
          <w:rFonts w:asciiTheme="majorHAnsi" w:hAnsiTheme="majorHAnsi" w:cstheme="majorHAnsi"/>
        </w:rPr>
      </w:pPr>
    </w:p>
    <w:p w14:paraId="4E2CE334" w14:textId="2B15289E" w:rsidR="00BA0CD0" w:rsidRDefault="00BA0CD0" w:rsidP="00A11F37">
      <w:pPr>
        <w:spacing w:line="360" w:lineRule="auto"/>
        <w:ind w:left="-426" w:right="-619"/>
        <w:jc w:val="both"/>
        <w:rPr>
          <w:rFonts w:asciiTheme="majorHAnsi" w:hAnsiTheme="majorHAnsi" w:cstheme="majorHAnsi"/>
        </w:rPr>
      </w:pPr>
    </w:p>
    <w:p w14:paraId="65C4105C" w14:textId="26FB93B5" w:rsidR="00BA0CD0" w:rsidRDefault="00BA0CD0" w:rsidP="00A11F37">
      <w:pPr>
        <w:spacing w:line="360" w:lineRule="auto"/>
        <w:ind w:left="-426" w:right="-619"/>
        <w:jc w:val="both"/>
        <w:rPr>
          <w:rFonts w:asciiTheme="majorHAnsi" w:hAnsiTheme="majorHAnsi" w:cstheme="majorHAnsi"/>
        </w:rPr>
      </w:pPr>
    </w:p>
    <w:p w14:paraId="58D2D52D" w14:textId="2B49106B" w:rsidR="00BF547C" w:rsidRDefault="00BF547C" w:rsidP="00A11F37">
      <w:pPr>
        <w:spacing w:line="360" w:lineRule="auto"/>
        <w:ind w:left="-426" w:right="-619"/>
        <w:jc w:val="both"/>
        <w:rPr>
          <w:rFonts w:asciiTheme="majorHAnsi" w:hAnsiTheme="majorHAnsi" w:cstheme="majorHAnsi"/>
        </w:rPr>
      </w:pPr>
    </w:p>
    <w:p w14:paraId="2D079005" w14:textId="77777777" w:rsidR="00BF547C" w:rsidRDefault="00BF547C" w:rsidP="00A11F37">
      <w:pPr>
        <w:spacing w:line="360" w:lineRule="auto"/>
        <w:ind w:left="-426" w:right="-619"/>
        <w:jc w:val="both"/>
        <w:rPr>
          <w:rFonts w:asciiTheme="majorHAnsi" w:hAnsiTheme="majorHAnsi" w:cstheme="majorHAnsi"/>
        </w:rPr>
      </w:pPr>
    </w:p>
    <w:p w14:paraId="7D9655A0" w14:textId="0B5FD135" w:rsidR="004402A8" w:rsidRDefault="004402A8" w:rsidP="00A11F37">
      <w:pPr>
        <w:spacing w:line="360" w:lineRule="auto"/>
        <w:ind w:left="-426" w:right="-619"/>
        <w:jc w:val="both"/>
        <w:rPr>
          <w:rFonts w:asciiTheme="majorHAnsi" w:hAnsiTheme="majorHAnsi" w:cstheme="majorHAnsi"/>
        </w:rPr>
      </w:pPr>
    </w:p>
    <w:p w14:paraId="75E98CC8" w14:textId="77777777" w:rsidR="004402A8" w:rsidRDefault="004402A8" w:rsidP="00A11F37">
      <w:pPr>
        <w:spacing w:line="360" w:lineRule="auto"/>
        <w:ind w:left="-426" w:right="-619"/>
        <w:jc w:val="both"/>
        <w:rPr>
          <w:rFonts w:asciiTheme="majorHAnsi" w:hAnsiTheme="majorHAnsi" w:cstheme="majorHAnsi"/>
        </w:rPr>
      </w:pPr>
    </w:p>
    <w:p w14:paraId="135BBC22" w14:textId="414D16DA" w:rsidR="00712420" w:rsidRDefault="00712420" w:rsidP="00A11F37">
      <w:pPr>
        <w:spacing w:line="360" w:lineRule="auto"/>
        <w:ind w:left="-426" w:right="-619"/>
        <w:jc w:val="both"/>
        <w:rPr>
          <w:rFonts w:asciiTheme="majorHAnsi" w:hAnsiTheme="majorHAnsi" w:cstheme="majorHAnsi"/>
        </w:rPr>
      </w:pPr>
    </w:p>
    <w:p w14:paraId="4572935E" w14:textId="77777777" w:rsidR="00712420" w:rsidRDefault="00712420" w:rsidP="00A11F37">
      <w:pPr>
        <w:spacing w:line="360" w:lineRule="auto"/>
        <w:ind w:left="-426" w:right="-619"/>
        <w:jc w:val="both"/>
        <w:rPr>
          <w:rFonts w:asciiTheme="majorHAnsi" w:hAnsiTheme="majorHAnsi" w:cstheme="majorHAnsi"/>
        </w:rPr>
      </w:pPr>
    </w:p>
    <w:p w14:paraId="6C1DC85F" w14:textId="77777777" w:rsidR="00712420" w:rsidRDefault="00712420" w:rsidP="00A11F37">
      <w:pPr>
        <w:spacing w:line="360" w:lineRule="auto"/>
        <w:ind w:left="-426" w:right="-619"/>
        <w:jc w:val="both"/>
        <w:rPr>
          <w:rFonts w:asciiTheme="majorHAnsi" w:hAnsiTheme="majorHAnsi" w:cstheme="majorHAnsi"/>
        </w:rPr>
      </w:pPr>
    </w:p>
    <w:p w14:paraId="1ACAC76F" w14:textId="75FC538A" w:rsidR="00A11F37" w:rsidRPr="00A11F37" w:rsidRDefault="00060008" w:rsidP="00A11F37">
      <w:pPr>
        <w:spacing w:line="360" w:lineRule="auto"/>
        <w:ind w:left="-426" w:right="-619"/>
        <w:jc w:val="both"/>
        <w:rPr>
          <w:rFonts w:asciiTheme="majorHAnsi" w:hAnsiTheme="majorHAnsi" w:cstheme="majorHAnsi"/>
        </w:rPr>
      </w:pPr>
      <w:r>
        <w:rPr>
          <w:rFonts w:asciiTheme="majorHAnsi" w:hAnsiTheme="majorHAnsi" w:cstheme="majorHAnsi"/>
        </w:rPr>
        <w:t xml:space="preserve"> </w:t>
      </w:r>
    </w:p>
    <w:p w14:paraId="28A31C4E" w14:textId="77777777" w:rsidR="00A11F37" w:rsidRDefault="00A11F37" w:rsidP="006B2F5C">
      <w:pPr>
        <w:spacing w:line="360" w:lineRule="auto"/>
        <w:ind w:left="-426" w:right="-619"/>
        <w:jc w:val="both"/>
        <w:rPr>
          <w:rFonts w:asciiTheme="majorHAnsi" w:hAnsiTheme="majorHAnsi" w:cstheme="majorHAnsi"/>
        </w:rPr>
      </w:pPr>
    </w:p>
    <w:p w14:paraId="396CC37D" w14:textId="77777777" w:rsidR="009D2967" w:rsidRDefault="009D2967" w:rsidP="006B2F5C">
      <w:pPr>
        <w:spacing w:line="360" w:lineRule="auto"/>
        <w:ind w:left="-426" w:right="-619"/>
        <w:jc w:val="both"/>
        <w:rPr>
          <w:rFonts w:asciiTheme="majorHAnsi" w:hAnsiTheme="majorHAnsi" w:cstheme="majorHAnsi"/>
        </w:rPr>
      </w:pPr>
    </w:p>
    <w:p w14:paraId="42798D2D" w14:textId="5FA43406" w:rsidR="007A7A85" w:rsidRDefault="009D2967" w:rsidP="006B2F5C">
      <w:pPr>
        <w:spacing w:line="360" w:lineRule="auto"/>
        <w:ind w:left="-426" w:right="-619"/>
        <w:jc w:val="both"/>
        <w:rPr>
          <w:rFonts w:asciiTheme="majorHAnsi" w:hAnsiTheme="majorHAnsi" w:cstheme="majorHAnsi"/>
        </w:rPr>
      </w:pPr>
      <w:r>
        <w:rPr>
          <w:rFonts w:asciiTheme="majorHAnsi" w:hAnsiTheme="majorHAnsi" w:cstheme="majorHAnsi"/>
        </w:rPr>
        <w:t xml:space="preserve"> </w:t>
      </w:r>
      <w:r w:rsidR="00C812EC">
        <w:rPr>
          <w:rFonts w:asciiTheme="majorHAnsi" w:hAnsiTheme="majorHAnsi" w:cstheme="majorHAnsi"/>
        </w:rPr>
        <w:t xml:space="preserve">  </w:t>
      </w:r>
    </w:p>
    <w:p w14:paraId="6D560FDE" w14:textId="77777777" w:rsidR="00656F27" w:rsidRDefault="00656F27" w:rsidP="006B2F5C">
      <w:pPr>
        <w:spacing w:line="360" w:lineRule="auto"/>
        <w:ind w:left="-426" w:right="-619"/>
        <w:jc w:val="both"/>
        <w:rPr>
          <w:rFonts w:asciiTheme="majorHAnsi" w:hAnsiTheme="majorHAnsi" w:cstheme="majorHAnsi"/>
        </w:rPr>
      </w:pPr>
    </w:p>
    <w:p w14:paraId="6D502C3B" w14:textId="77777777" w:rsidR="007C4CB1" w:rsidRDefault="007C4CB1" w:rsidP="006B2F5C">
      <w:pPr>
        <w:spacing w:line="360" w:lineRule="auto"/>
        <w:ind w:left="-426" w:right="-619"/>
        <w:jc w:val="both"/>
        <w:rPr>
          <w:rFonts w:asciiTheme="majorHAnsi" w:hAnsiTheme="majorHAnsi" w:cstheme="majorHAnsi"/>
        </w:rPr>
      </w:pPr>
    </w:p>
    <w:p w14:paraId="4813F2A7" w14:textId="5BAA6109" w:rsidR="00EB6738" w:rsidRDefault="00EB6738" w:rsidP="007C4CB1">
      <w:pPr>
        <w:spacing w:line="360" w:lineRule="auto"/>
        <w:ind w:right="-619"/>
        <w:jc w:val="both"/>
        <w:rPr>
          <w:rFonts w:asciiTheme="majorHAnsi" w:hAnsiTheme="majorHAnsi" w:cstheme="majorHAnsi"/>
        </w:rPr>
      </w:pPr>
      <w:r>
        <w:rPr>
          <w:rFonts w:asciiTheme="majorHAnsi" w:hAnsiTheme="majorHAnsi" w:cstheme="majorHAnsi"/>
        </w:rPr>
        <w:t xml:space="preserve"> </w:t>
      </w:r>
    </w:p>
    <w:p w14:paraId="6749438B" w14:textId="2C9D396E" w:rsidR="00EB6738" w:rsidRDefault="00EB6738" w:rsidP="006B2F5C">
      <w:pPr>
        <w:spacing w:line="360" w:lineRule="auto"/>
        <w:ind w:left="-426" w:right="-619"/>
        <w:jc w:val="both"/>
        <w:rPr>
          <w:rFonts w:asciiTheme="majorHAnsi" w:hAnsiTheme="majorHAnsi" w:cstheme="majorHAnsi"/>
        </w:rPr>
      </w:pPr>
    </w:p>
    <w:p w14:paraId="26B0F7F0" w14:textId="77777777" w:rsidR="0045464F" w:rsidRDefault="0045464F" w:rsidP="006B2F5C">
      <w:pPr>
        <w:spacing w:line="360" w:lineRule="auto"/>
        <w:ind w:left="-426" w:right="-619"/>
        <w:jc w:val="both"/>
        <w:rPr>
          <w:rFonts w:asciiTheme="majorHAnsi" w:hAnsiTheme="majorHAnsi" w:cstheme="majorHAnsi"/>
        </w:rPr>
      </w:pPr>
    </w:p>
    <w:p w14:paraId="3A682E32" w14:textId="49C0F893" w:rsidR="005F47E0" w:rsidRDefault="005F47E0" w:rsidP="006B2F5C">
      <w:pPr>
        <w:spacing w:line="360" w:lineRule="auto"/>
        <w:ind w:left="-426" w:right="-619"/>
        <w:jc w:val="both"/>
        <w:rPr>
          <w:rFonts w:asciiTheme="majorHAnsi" w:hAnsiTheme="majorHAnsi" w:cstheme="majorHAnsi"/>
        </w:rPr>
      </w:pPr>
    </w:p>
    <w:p w14:paraId="34B4B7EA" w14:textId="77777777" w:rsidR="009B2099" w:rsidRDefault="009B2099" w:rsidP="006B2F5C">
      <w:pPr>
        <w:spacing w:line="360" w:lineRule="auto"/>
        <w:ind w:left="-426" w:right="-619"/>
        <w:jc w:val="both"/>
        <w:rPr>
          <w:rFonts w:asciiTheme="majorHAnsi" w:hAnsiTheme="majorHAnsi" w:cstheme="majorHAnsi"/>
        </w:rPr>
      </w:pPr>
    </w:p>
    <w:p w14:paraId="2340FF87" w14:textId="518349D8" w:rsidR="009F233D" w:rsidRDefault="007B403E" w:rsidP="006B2F5C">
      <w:pPr>
        <w:spacing w:line="360" w:lineRule="auto"/>
        <w:ind w:left="-426" w:right="-619"/>
        <w:jc w:val="both"/>
        <w:rPr>
          <w:rFonts w:asciiTheme="majorHAnsi" w:hAnsiTheme="majorHAnsi" w:cstheme="majorHAnsi"/>
        </w:rPr>
      </w:pPr>
      <w:r>
        <w:rPr>
          <w:rFonts w:asciiTheme="majorHAnsi" w:hAnsiTheme="majorHAnsi" w:cstheme="majorHAnsi"/>
        </w:rPr>
        <w:t xml:space="preserve"> </w:t>
      </w:r>
      <w:r w:rsidR="00E73687">
        <w:rPr>
          <w:rFonts w:asciiTheme="majorHAnsi" w:hAnsiTheme="majorHAnsi" w:cstheme="majorHAnsi"/>
        </w:rPr>
        <w:t xml:space="preserve"> </w:t>
      </w:r>
      <w:r w:rsidR="0065681C">
        <w:rPr>
          <w:rFonts w:asciiTheme="majorHAnsi" w:hAnsiTheme="majorHAnsi" w:cstheme="majorHAnsi"/>
        </w:rPr>
        <w:t xml:space="preserve">  </w:t>
      </w:r>
      <w:r w:rsidR="00823554">
        <w:rPr>
          <w:rFonts w:asciiTheme="majorHAnsi" w:hAnsiTheme="majorHAnsi" w:cstheme="majorHAnsi"/>
        </w:rPr>
        <w:t xml:space="preserve"> </w:t>
      </w:r>
      <w:r w:rsidR="00D16223">
        <w:rPr>
          <w:rFonts w:asciiTheme="majorHAnsi" w:hAnsiTheme="majorHAnsi" w:cstheme="majorHAnsi"/>
        </w:rPr>
        <w:t xml:space="preserve"> </w:t>
      </w:r>
    </w:p>
    <w:p w14:paraId="6F1B0837" w14:textId="77777777" w:rsidR="009F233D" w:rsidRDefault="009F233D" w:rsidP="00505A0C">
      <w:pPr>
        <w:spacing w:line="360" w:lineRule="auto"/>
        <w:ind w:left="-426" w:right="-619"/>
        <w:jc w:val="both"/>
        <w:rPr>
          <w:rFonts w:asciiTheme="majorHAnsi" w:hAnsiTheme="majorHAnsi" w:cstheme="majorHAnsi"/>
        </w:rPr>
      </w:pPr>
    </w:p>
    <w:p w14:paraId="524F9EE3" w14:textId="1157C486" w:rsidR="00505A0C" w:rsidRPr="00505A0C" w:rsidRDefault="00C138AE" w:rsidP="00505A0C">
      <w:pPr>
        <w:spacing w:line="360" w:lineRule="auto"/>
        <w:ind w:left="-426" w:right="-619"/>
        <w:jc w:val="both"/>
        <w:rPr>
          <w:rFonts w:asciiTheme="majorHAnsi" w:hAnsiTheme="majorHAnsi" w:cstheme="majorHAnsi"/>
        </w:rPr>
      </w:pPr>
      <w:r>
        <w:rPr>
          <w:rFonts w:asciiTheme="majorHAnsi" w:hAnsiTheme="majorHAnsi" w:cstheme="majorHAnsi"/>
        </w:rPr>
        <w:t xml:space="preserve"> </w:t>
      </w:r>
    </w:p>
    <w:p w14:paraId="72255FBF" w14:textId="5E33B828" w:rsidR="00BE7AF6" w:rsidRDefault="00763321" w:rsidP="00BE7AF6">
      <w:pPr>
        <w:spacing w:line="360" w:lineRule="auto"/>
        <w:ind w:left="-426" w:right="-619"/>
        <w:jc w:val="both"/>
        <w:rPr>
          <w:rFonts w:asciiTheme="majorHAnsi" w:hAnsiTheme="majorHAnsi" w:cstheme="majorHAnsi"/>
        </w:rPr>
      </w:pPr>
      <w:r>
        <w:rPr>
          <w:rFonts w:asciiTheme="majorHAnsi" w:hAnsiTheme="majorHAnsi" w:cstheme="majorHAnsi"/>
        </w:rPr>
        <w:t xml:space="preserve"> </w:t>
      </w:r>
      <w:r w:rsidR="00FC79C0">
        <w:rPr>
          <w:rFonts w:asciiTheme="majorHAnsi" w:hAnsiTheme="majorHAnsi" w:cstheme="majorHAnsi"/>
        </w:rPr>
        <w:t xml:space="preserve"> </w:t>
      </w:r>
      <w:r w:rsidR="00F36AEA">
        <w:rPr>
          <w:rFonts w:asciiTheme="majorHAnsi" w:hAnsiTheme="majorHAnsi" w:cstheme="majorHAnsi"/>
        </w:rPr>
        <w:t xml:space="preserve"> </w:t>
      </w:r>
      <w:r w:rsidR="002F3717">
        <w:rPr>
          <w:rFonts w:asciiTheme="majorHAnsi" w:hAnsiTheme="majorHAnsi" w:cstheme="majorHAnsi"/>
        </w:rPr>
        <w:t xml:space="preserve"> </w:t>
      </w:r>
    </w:p>
    <w:p w14:paraId="39CAA10E" w14:textId="77777777" w:rsidR="00BE7AF6" w:rsidRDefault="00BE7AF6" w:rsidP="00BE7AF6">
      <w:pPr>
        <w:spacing w:line="360" w:lineRule="auto"/>
        <w:ind w:left="-426" w:right="-619"/>
        <w:jc w:val="both"/>
        <w:rPr>
          <w:rFonts w:asciiTheme="majorHAnsi" w:hAnsiTheme="majorHAnsi" w:cstheme="majorHAnsi"/>
        </w:rPr>
      </w:pPr>
    </w:p>
    <w:p w14:paraId="281F098C" w14:textId="4C65E5E5" w:rsidR="00183C73" w:rsidRPr="00183C73" w:rsidRDefault="00183C73" w:rsidP="00183C73">
      <w:pPr>
        <w:spacing w:line="360" w:lineRule="auto"/>
        <w:ind w:left="-426" w:right="-619"/>
        <w:jc w:val="both"/>
        <w:rPr>
          <w:rFonts w:asciiTheme="majorHAnsi" w:hAnsiTheme="majorHAnsi" w:cstheme="majorHAnsi"/>
        </w:rPr>
      </w:pPr>
    </w:p>
    <w:p w14:paraId="3CCF7B67" w14:textId="77777777" w:rsidR="00183C73" w:rsidRPr="00AB5216" w:rsidRDefault="00183C73" w:rsidP="00AB5216">
      <w:pPr>
        <w:spacing w:line="360" w:lineRule="auto"/>
        <w:ind w:left="-426" w:right="-619"/>
        <w:jc w:val="both"/>
        <w:rPr>
          <w:rFonts w:asciiTheme="majorHAnsi" w:hAnsiTheme="majorHAnsi" w:cstheme="majorHAnsi"/>
        </w:rPr>
      </w:pPr>
    </w:p>
    <w:p w14:paraId="0E9120E1" w14:textId="0E87921A" w:rsidR="00D32A04" w:rsidRPr="00D32A04" w:rsidRDefault="005D39D4" w:rsidP="00D32A04">
      <w:pPr>
        <w:spacing w:line="360" w:lineRule="auto"/>
        <w:ind w:left="-426" w:right="-619"/>
        <w:jc w:val="both"/>
        <w:rPr>
          <w:rFonts w:asciiTheme="majorHAnsi" w:hAnsiTheme="majorHAnsi" w:cstheme="majorHAnsi"/>
        </w:rPr>
      </w:pPr>
      <w:r>
        <w:rPr>
          <w:rFonts w:asciiTheme="majorHAnsi" w:hAnsiTheme="majorHAnsi" w:cstheme="majorHAnsi"/>
        </w:rPr>
        <w:t xml:space="preserve"> </w:t>
      </w:r>
      <w:r w:rsidR="00A86675">
        <w:rPr>
          <w:rFonts w:asciiTheme="majorHAnsi" w:hAnsiTheme="majorHAnsi" w:cstheme="majorHAnsi"/>
        </w:rPr>
        <w:t xml:space="preserve"> </w:t>
      </w:r>
      <w:r w:rsidR="00843AD3">
        <w:rPr>
          <w:rFonts w:asciiTheme="majorHAnsi" w:hAnsiTheme="majorHAnsi" w:cstheme="majorHAnsi"/>
        </w:rPr>
        <w:t xml:space="preserve"> </w:t>
      </w:r>
      <w:r w:rsidR="006F4F50">
        <w:rPr>
          <w:rFonts w:asciiTheme="majorHAnsi" w:hAnsiTheme="majorHAnsi" w:cstheme="majorHAnsi"/>
        </w:rPr>
        <w:t xml:space="preserve"> </w:t>
      </w:r>
      <w:r w:rsidR="007F2DA5">
        <w:rPr>
          <w:rFonts w:asciiTheme="majorHAnsi" w:hAnsiTheme="majorHAnsi" w:cstheme="majorHAnsi"/>
        </w:rPr>
        <w:t xml:space="preserve"> </w:t>
      </w:r>
      <w:r w:rsidR="00C37214">
        <w:rPr>
          <w:rFonts w:asciiTheme="majorHAnsi" w:hAnsiTheme="majorHAnsi" w:cstheme="majorHAnsi"/>
        </w:rPr>
        <w:t xml:space="preserve"> </w:t>
      </w:r>
      <w:r w:rsidR="00E52DF2">
        <w:rPr>
          <w:rFonts w:asciiTheme="majorHAnsi" w:hAnsiTheme="majorHAnsi" w:cstheme="majorHAnsi"/>
        </w:rPr>
        <w:t xml:space="preserve"> </w:t>
      </w:r>
    </w:p>
    <w:p w14:paraId="14153C07" w14:textId="7136E8AF" w:rsidR="0090393F" w:rsidRPr="0090393F" w:rsidRDefault="007E6AB1" w:rsidP="009639B2">
      <w:pPr>
        <w:spacing w:line="360" w:lineRule="auto"/>
        <w:ind w:left="-426" w:right="-619"/>
        <w:jc w:val="both"/>
        <w:rPr>
          <w:rFonts w:asciiTheme="majorHAnsi" w:hAnsiTheme="majorHAnsi" w:cstheme="majorHAnsi"/>
        </w:rPr>
      </w:pPr>
      <w:r>
        <w:rPr>
          <w:rFonts w:asciiTheme="majorHAnsi" w:hAnsiTheme="majorHAnsi" w:cstheme="majorHAnsi"/>
        </w:rPr>
        <w:t xml:space="preserve"> </w:t>
      </w:r>
      <w:r w:rsidR="007323F8">
        <w:rPr>
          <w:rFonts w:asciiTheme="majorHAnsi" w:hAnsiTheme="majorHAnsi" w:cstheme="majorHAnsi"/>
        </w:rPr>
        <w:t xml:space="preserve"> </w:t>
      </w:r>
      <w:r w:rsidR="006468CF">
        <w:rPr>
          <w:rFonts w:asciiTheme="majorHAnsi" w:hAnsiTheme="majorHAnsi" w:cstheme="majorHAnsi"/>
        </w:rPr>
        <w:t xml:space="preserve"> </w:t>
      </w:r>
      <w:r w:rsidR="000A785B">
        <w:rPr>
          <w:rFonts w:asciiTheme="majorHAnsi" w:hAnsiTheme="majorHAnsi" w:cstheme="majorHAnsi"/>
        </w:rPr>
        <w:t xml:space="preserve"> </w:t>
      </w:r>
      <w:r w:rsidR="001A2280">
        <w:rPr>
          <w:rFonts w:asciiTheme="majorHAnsi" w:hAnsiTheme="majorHAnsi" w:cstheme="majorHAnsi"/>
        </w:rPr>
        <w:t xml:space="preserve"> </w:t>
      </w:r>
      <w:r w:rsidR="00AA5F89">
        <w:rPr>
          <w:rFonts w:asciiTheme="majorHAnsi" w:hAnsiTheme="majorHAnsi" w:cstheme="majorHAnsi"/>
        </w:rPr>
        <w:t xml:space="preserve"> </w:t>
      </w:r>
      <w:r w:rsidR="00D96AE4">
        <w:rPr>
          <w:rFonts w:asciiTheme="majorHAnsi" w:hAnsiTheme="majorHAnsi" w:cstheme="majorHAnsi"/>
        </w:rPr>
        <w:t xml:space="preserve"> </w:t>
      </w:r>
      <w:r w:rsidR="00E931E0">
        <w:rPr>
          <w:rFonts w:asciiTheme="majorHAnsi" w:hAnsiTheme="majorHAnsi" w:cstheme="majorHAnsi"/>
        </w:rPr>
        <w:t xml:space="preserve"> </w:t>
      </w:r>
    </w:p>
    <w:p w14:paraId="0C87F5F4" w14:textId="77777777" w:rsidR="0090393F" w:rsidRPr="00CF5B53" w:rsidRDefault="0090393F" w:rsidP="00CF5B53">
      <w:pPr>
        <w:spacing w:line="360" w:lineRule="auto"/>
        <w:ind w:left="-426" w:right="-619"/>
        <w:jc w:val="both"/>
        <w:rPr>
          <w:rFonts w:asciiTheme="majorHAnsi" w:hAnsiTheme="majorHAnsi" w:cstheme="majorHAnsi"/>
        </w:rPr>
      </w:pPr>
    </w:p>
    <w:p w14:paraId="735283CD" w14:textId="6885086F" w:rsidR="00753853" w:rsidRDefault="00791D5E" w:rsidP="00694B18">
      <w:pPr>
        <w:spacing w:line="360" w:lineRule="auto"/>
        <w:ind w:left="-426" w:right="-619"/>
        <w:jc w:val="both"/>
        <w:rPr>
          <w:rFonts w:asciiTheme="majorHAnsi" w:hAnsiTheme="majorHAnsi" w:cstheme="majorHAnsi"/>
        </w:rPr>
      </w:pPr>
      <w:r>
        <w:rPr>
          <w:rFonts w:asciiTheme="majorHAnsi" w:hAnsiTheme="majorHAnsi" w:cstheme="majorHAnsi"/>
        </w:rPr>
        <w:t xml:space="preserve"> </w:t>
      </w:r>
      <w:r w:rsidR="00266B64">
        <w:rPr>
          <w:rFonts w:asciiTheme="majorHAnsi" w:hAnsiTheme="majorHAnsi" w:cstheme="majorHAnsi"/>
        </w:rPr>
        <w:t xml:space="preserve"> </w:t>
      </w:r>
    </w:p>
    <w:p w14:paraId="76D832C3" w14:textId="5F204B97" w:rsidR="00426105" w:rsidRDefault="00426105" w:rsidP="00694B18">
      <w:pPr>
        <w:spacing w:line="360" w:lineRule="auto"/>
        <w:ind w:left="-426" w:right="-619"/>
        <w:jc w:val="both"/>
        <w:rPr>
          <w:rFonts w:asciiTheme="majorHAnsi" w:hAnsiTheme="majorHAnsi" w:cstheme="majorHAnsi"/>
        </w:rPr>
      </w:pPr>
    </w:p>
    <w:p w14:paraId="7500B74B" w14:textId="77777777" w:rsidR="00426105" w:rsidRDefault="00426105" w:rsidP="00694B18">
      <w:pPr>
        <w:spacing w:line="360" w:lineRule="auto"/>
        <w:ind w:left="-426" w:right="-619"/>
        <w:jc w:val="both"/>
        <w:rPr>
          <w:rFonts w:asciiTheme="majorHAnsi" w:hAnsiTheme="majorHAnsi" w:cstheme="majorHAnsi"/>
        </w:rPr>
      </w:pPr>
    </w:p>
    <w:p w14:paraId="033B9A68" w14:textId="77777777" w:rsidR="006E366C" w:rsidRDefault="006E366C" w:rsidP="00694B18">
      <w:pPr>
        <w:spacing w:line="360" w:lineRule="auto"/>
        <w:ind w:left="-426" w:right="-619"/>
        <w:jc w:val="both"/>
        <w:rPr>
          <w:rFonts w:asciiTheme="majorHAnsi" w:hAnsiTheme="majorHAnsi" w:cstheme="majorHAnsi"/>
        </w:rPr>
      </w:pPr>
    </w:p>
    <w:p w14:paraId="27713E2E" w14:textId="556AF4BB" w:rsidR="004A4D8E" w:rsidRDefault="00694B18" w:rsidP="00694B18">
      <w:pPr>
        <w:spacing w:line="360" w:lineRule="auto"/>
        <w:ind w:left="-426" w:right="-619"/>
        <w:jc w:val="both"/>
        <w:rPr>
          <w:rFonts w:asciiTheme="majorHAnsi" w:hAnsiTheme="majorHAnsi" w:cstheme="majorHAnsi"/>
        </w:rPr>
      </w:pPr>
      <w:r>
        <w:rPr>
          <w:rFonts w:asciiTheme="majorHAnsi" w:hAnsiTheme="majorHAnsi" w:cstheme="majorHAnsi"/>
        </w:rPr>
        <w:lastRenderedPageBreak/>
        <w:t xml:space="preserve"> </w:t>
      </w:r>
      <w:r w:rsidR="00A24257">
        <w:rPr>
          <w:rFonts w:asciiTheme="majorHAnsi" w:hAnsiTheme="majorHAnsi" w:cstheme="majorHAnsi"/>
        </w:rPr>
        <w:t xml:space="preserve">  </w:t>
      </w:r>
      <w:r w:rsidR="0089764C">
        <w:rPr>
          <w:rFonts w:asciiTheme="majorHAnsi" w:hAnsiTheme="majorHAnsi" w:cstheme="majorHAnsi"/>
        </w:rPr>
        <w:t xml:space="preserve"> </w:t>
      </w:r>
    </w:p>
    <w:p w14:paraId="33CFEB4B" w14:textId="77777777" w:rsidR="004A4D8E" w:rsidRDefault="004A4D8E" w:rsidP="00667BAF">
      <w:pPr>
        <w:spacing w:line="360" w:lineRule="auto"/>
        <w:ind w:left="-426" w:right="-619"/>
        <w:jc w:val="both"/>
        <w:rPr>
          <w:rFonts w:asciiTheme="majorHAnsi" w:hAnsiTheme="majorHAnsi" w:cstheme="majorHAnsi"/>
        </w:rPr>
      </w:pPr>
    </w:p>
    <w:p w14:paraId="2CECAC94" w14:textId="0EA583E8" w:rsidR="00667BAF" w:rsidRDefault="00667BAF" w:rsidP="004267C6">
      <w:pPr>
        <w:ind w:left="-426"/>
        <w:rPr>
          <w:rFonts w:asciiTheme="majorHAnsi" w:hAnsiTheme="majorHAnsi" w:cstheme="majorHAnsi"/>
        </w:rPr>
      </w:pPr>
    </w:p>
    <w:p w14:paraId="7EC22276" w14:textId="77777777" w:rsidR="00667BAF" w:rsidRDefault="00667BAF" w:rsidP="004267C6">
      <w:pPr>
        <w:ind w:left="-426"/>
        <w:rPr>
          <w:rFonts w:asciiTheme="majorHAnsi" w:hAnsiTheme="majorHAnsi" w:cstheme="majorHAnsi"/>
        </w:rPr>
      </w:pPr>
    </w:p>
    <w:p w14:paraId="6E21773A" w14:textId="77777777" w:rsidR="003B2543" w:rsidRDefault="003B2543" w:rsidP="004267C6">
      <w:pPr>
        <w:ind w:left="-426"/>
        <w:rPr>
          <w:rFonts w:asciiTheme="majorHAnsi" w:hAnsiTheme="majorHAnsi" w:cstheme="majorHAnsi"/>
        </w:rPr>
      </w:pPr>
    </w:p>
    <w:p w14:paraId="28A65D64" w14:textId="11597CC7" w:rsidR="009A0CE9" w:rsidRDefault="009A0CE9" w:rsidP="004267C6">
      <w:pPr>
        <w:ind w:left="-426"/>
        <w:rPr>
          <w:rFonts w:asciiTheme="majorHAnsi" w:hAnsiTheme="majorHAnsi" w:cstheme="majorHAnsi"/>
        </w:rPr>
      </w:pPr>
    </w:p>
    <w:p w14:paraId="3114A1A8" w14:textId="77777777" w:rsidR="009A0CE9" w:rsidRDefault="009A0CE9" w:rsidP="004267C6">
      <w:pPr>
        <w:ind w:left="-426"/>
        <w:rPr>
          <w:rFonts w:asciiTheme="majorHAnsi" w:hAnsiTheme="majorHAnsi" w:cstheme="majorHAnsi"/>
        </w:rPr>
      </w:pPr>
    </w:p>
    <w:p w14:paraId="65825860" w14:textId="548556BB" w:rsidR="003B2543" w:rsidRDefault="003B2543" w:rsidP="004267C6">
      <w:pPr>
        <w:ind w:left="-426"/>
        <w:rPr>
          <w:rFonts w:asciiTheme="majorHAnsi" w:hAnsiTheme="majorHAnsi" w:cstheme="majorHAnsi"/>
        </w:rPr>
      </w:pPr>
    </w:p>
    <w:p w14:paraId="1A5D2771" w14:textId="77777777" w:rsidR="003B2543" w:rsidRDefault="003B2543" w:rsidP="004267C6">
      <w:pPr>
        <w:ind w:left="-426"/>
        <w:rPr>
          <w:rFonts w:asciiTheme="majorHAnsi" w:hAnsiTheme="majorHAnsi" w:cstheme="majorHAnsi"/>
        </w:rPr>
      </w:pPr>
    </w:p>
    <w:p w14:paraId="594535FE" w14:textId="4F354317" w:rsidR="00011790" w:rsidRDefault="00011790">
      <w:pPr>
        <w:rPr>
          <w:rFonts w:asciiTheme="majorHAnsi" w:hAnsiTheme="majorHAnsi" w:cstheme="majorHAnsi"/>
        </w:rPr>
      </w:pPr>
    </w:p>
    <w:p w14:paraId="495B9FD3" w14:textId="77777777" w:rsidR="00011790" w:rsidRPr="00011790" w:rsidRDefault="00011790">
      <w:pPr>
        <w:rPr>
          <w:rFonts w:asciiTheme="majorHAnsi" w:hAnsiTheme="majorHAnsi" w:cstheme="majorHAnsi"/>
        </w:rPr>
      </w:pPr>
    </w:p>
    <w:sectPr w:rsidR="00011790" w:rsidRPr="00011790" w:rsidSect="00791B32">
      <w:head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9A2A0" w14:textId="77777777" w:rsidR="0029763E" w:rsidRDefault="0029763E" w:rsidP="004267C6">
      <w:r>
        <w:separator/>
      </w:r>
    </w:p>
  </w:endnote>
  <w:endnote w:type="continuationSeparator" w:id="0">
    <w:p w14:paraId="47D97131" w14:textId="77777777" w:rsidR="0029763E" w:rsidRDefault="0029763E" w:rsidP="0042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5911B" w14:textId="77777777" w:rsidR="0029763E" w:rsidRDefault="0029763E" w:rsidP="004267C6">
      <w:r>
        <w:separator/>
      </w:r>
    </w:p>
  </w:footnote>
  <w:footnote w:type="continuationSeparator" w:id="0">
    <w:p w14:paraId="7D1F4918" w14:textId="77777777" w:rsidR="0029763E" w:rsidRDefault="0029763E" w:rsidP="0042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B15C" w14:textId="6E3D693B" w:rsidR="00B57211" w:rsidRPr="00FE3236" w:rsidRDefault="00B57211" w:rsidP="002A07F0">
    <w:pPr>
      <w:pStyle w:val="Header"/>
      <w:tabs>
        <w:tab w:val="left" w:pos="7230"/>
        <w:tab w:val="left" w:pos="7371"/>
      </w:tabs>
      <w:spacing w:line="276" w:lineRule="auto"/>
      <w:ind w:left="-426" w:right="-619"/>
      <w:jc w:val="both"/>
      <w:rPr>
        <w:rFonts w:asciiTheme="majorHAnsi" w:hAnsiTheme="majorHAnsi" w:cstheme="majorHAnsi"/>
      </w:rPr>
    </w:pPr>
    <w:r>
      <w:rPr>
        <w:rFonts w:asciiTheme="majorHAnsi" w:hAnsiTheme="majorHAnsi" w:cstheme="majorHAnsi"/>
      </w:rPr>
      <w:tab/>
    </w:r>
  </w:p>
  <w:p w14:paraId="37900CFF" w14:textId="20C6F62F" w:rsidR="004267C6" w:rsidRDefault="004267C6" w:rsidP="00B57211">
    <w:pPr>
      <w:pStyle w:val="Header"/>
      <w:tabs>
        <w:tab w:val="left" w:pos="7938"/>
      </w:tabs>
      <w:spacing w:line="276" w:lineRule="auto"/>
      <w:ind w:left="-426" w:right="-619"/>
      <w:jc w:val="both"/>
      <w:rPr>
        <w:rFonts w:asciiTheme="majorHAnsi" w:hAnsiTheme="majorHAnsi" w:cstheme="majorHAnsi"/>
      </w:rPr>
    </w:pPr>
  </w:p>
  <w:p w14:paraId="107CB425" w14:textId="77777777" w:rsidR="004267C6" w:rsidRDefault="00426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90"/>
    <w:rsid w:val="00000DDF"/>
    <w:rsid w:val="000012D4"/>
    <w:rsid w:val="00011790"/>
    <w:rsid w:val="00013F41"/>
    <w:rsid w:val="000219C1"/>
    <w:rsid w:val="00031919"/>
    <w:rsid w:val="00035D54"/>
    <w:rsid w:val="0003630B"/>
    <w:rsid w:val="00036BD2"/>
    <w:rsid w:val="0004559D"/>
    <w:rsid w:val="00046477"/>
    <w:rsid w:val="000535DD"/>
    <w:rsid w:val="00053F68"/>
    <w:rsid w:val="00060008"/>
    <w:rsid w:val="000673F4"/>
    <w:rsid w:val="0008341B"/>
    <w:rsid w:val="00092526"/>
    <w:rsid w:val="00092DFE"/>
    <w:rsid w:val="000940DB"/>
    <w:rsid w:val="000A2905"/>
    <w:rsid w:val="000A5103"/>
    <w:rsid w:val="000A6586"/>
    <w:rsid w:val="000A785B"/>
    <w:rsid w:val="000B1294"/>
    <w:rsid w:val="000B14BF"/>
    <w:rsid w:val="000C2F23"/>
    <w:rsid w:val="000C3C68"/>
    <w:rsid w:val="000C465C"/>
    <w:rsid w:val="000D0634"/>
    <w:rsid w:val="000E133A"/>
    <w:rsid w:val="000E2BEF"/>
    <w:rsid w:val="000F2C7C"/>
    <w:rsid w:val="000F33B0"/>
    <w:rsid w:val="000F56B1"/>
    <w:rsid w:val="00103CA5"/>
    <w:rsid w:val="001143B1"/>
    <w:rsid w:val="00132273"/>
    <w:rsid w:val="00132F31"/>
    <w:rsid w:val="00144FEE"/>
    <w:rsid w:val="00161FCE"/>
    <w:rsid w:val="0016368D"/>
    <w:rsid w:val="0016732D"/>
    <w:rsid w:val="00170C37"/>
    <w:rsid w:val="00176C9C"/>
    <w:rsid w:val="00183C73"/>
    <w:rsid w:val="00187CF7"/>
    <w:rsid w:val="0019598E"/>
    <w:rsid w:val="001A2280"/>
    <w:rsid w:val="001B0768"/>
    <w:rsid w:val="001B2D9B"/>
    <w:rsid w:val="001B5393"/>
    <w:rsid w:val="001C465B"/>
    <w:rsid w:val="001C5FC4"/>
    <w:rsid w:val="001C73FD"/>
    <w:rsid w:val="001C786F"/>
    <w:rsid w:val="001D0C89"/>
    <w:rsid w:val="001D14AE"/>
    <w:rsid w:val="001D1BF6"/>
    <w:rsid w:val="001D20DB"/>
    <w:rsid w:val="001D439F"/>
    <w:rsid w:val="001E697D"/>
    <w:rsid w:val="001E7E60"/>
    <w:rsid w:val="001F2CC3"/>
    <w:rsid w:val="001F3091"/>
    <w:rsid w:val="0020798E"/>
    <w:rsid w:val="00207C7E"/>
    <w:rsid w:val="0021020E"/>
    <w:rsid w:val="00220355"/>
    <w:rsid w:val="002357BD"/>
    <w:rsid w:val="00240D96"/>
    <w:rsid w:val="0024224D"/>
    <w:rsid w:val="00243B53"/>
    <w:rsid w:val="00250542"/>
    <w:rsid w:val="002540F4"/>
    <w:rsid w:val="00261829"/>
    <w:rsid w:val="00266B64"/>
    <w:rsid w:val="002747F3"/>
    <w:rsid w:val="00284F61"/>
    <w:rsid w:val="002915A9"/>
    <w:rsid w:val="00292515"/>
    <w:rsid w:val="0029763E"/>
    <w:rsid w:val="002A07F0"/>
    <w:rsid w:val="002A5B8B"/>
    <w:rsid w:val="002C296D"/>
    <w:rsid w:val="002D1DDE"/>
    <w:rsid w:val="002D6761"/>
    <w:rsid w:val="002E5555"/>
    <w:rsid w:val="002F1D26"/>
    <w:rsid w:val="002F2335"/>
    <w:rsid w:val="002F3717"/>
    <w:rsid w:val="002F3C8D"/>
    <w:rsid w:val="002F4190"/>
    <w:rsid w:val="00305DEA"/>
    <w:rsid w:val="00324097"/>
    <w:rsid w:val="0032649B"/>
    <w:rsid w:val="003372A4"/>
    <w:rsid w:val="003448E9"/>
    <w:rsid w:val="003457CE"/>
    <w:rsid w:val="00347F06"/>
    <w:rsid w:val="00362572"/>
    <w:rsid w:val="00362C60"/>
    <w:rsid w:val="00372BA0"/>
    <w:rsid w:val="00374602"/>
    <w:rsid w:val="003764DF"/>
    <w:rsid w:val="00382503"/>
    <w:rsid w:val="0038595D"/>
    <w:rsid w:val="003912DA"/>
    <w:rsid w:val="00393CB1"/>
    <w:rsid w:val="00394E91"/>
    <w:rsid w:val="003B2479"/>
    <w:rsid w:val="003B2543"/>
    <w:rsid w:val="003B6343"/>
    <w:rsid w:val="003B787F"/>
    <w:rsid w:val="003C3ACC"/>
    <w:rsid w:val="003C7D37"/>
    <w:rsid w:val="003D1C47"/>
    <w:rsid w:val="003D7305"/>
    <w:rsid w:val="003D7EB8"/>
    <w:rsid w:val="003E56BF"/>
    <w:rsid w:val="003E5FC0"/>
    <w:rsid w:val="003E64F6"/>
    <w:rsid w:val="003F062C"/>
    <w:rsid w:val="003F474A"/>
    <w:rsid w:val="003F4B61"/>
    <w:rsid w:val="00415CCD"/>
    <w:rsid w:val="00417BE1"/>
    <w:rsid w:val="00426105"/>
    <w:rsid w:val="004267C6"/>
    <w:rsid w:val="00427666"/>
    <w:rsid w:val="004402A8"/>
    <w:rsid w:val="00442784"/>
    <w:rsid w:val="00442FCA"/>
    <w:rsid w:val="0045464F"/>
    <w:rsid w:val="00467F38"/>
    <w:rsid w:val="00473BFD"/>
    <w:rsid w:val="00475AAF"/>
    <w:rsid w:val="00477781"/>
    <w:rsid w:val="00497124"/>
    <w:rsid w:val="004A4D8E"/>
    <w:rsid w:val="004B0D14"/>
    <w:rsid w:val="004C4BB6"/>
    <w:rsid w:val="004C5245"/>
    <w:rsid w:val="004C6A58"/>
    <w:rsid w:val="004D6CD3"/>
    <w:rsid w:val="004E008D"/>
    <w:rsid w:val="004F223E"/>
    <w:rsid w:val="004F301B"/>
    <w:rsid w:val="004F69D1"/>
    <w:rsid w:val="0050047E"/>
    <w:rsid w:val="00505A0C"/>
    <w:rsid w:val="00505AD6"/>
    <w:rsid w:val="0051034E"/>
    <w:rsid w:val="0051208E"/>
    <w:rsid w:val="005150C7"/>
    <w:rsid w:val="00520E8C"/>
    <w:rsid w:val="00523156"/>
    <w:rsid w:val="00524B01"/>
    <w:rsid w:val="0052757D"/>
    <w:rsid w:val="005310A0"/>
    <w:rsid w:val="005337AD"/>
    <w:rsid w:val="00536587"/>
    <w:rsid w:val="005376D8"/>
    <w:rsid w:val="005576B0"/>
    <w:rsid w:val="0055786D"/>
    <w:rsid w:val="00561935"/>
    <w:rsid w:val="00562E9B"/>
    <w:rsid w:val="005631D3"/>
    <w:rsid w:val="0057179E"/>
    <w:rsid w:val="00577D4C"/>
    <w:rsid w:val="00587B6A"/>
    <w:rsid w:val="00590342"/>
    <w:rsid w:val="0059346A"/>
    <w:rsid w:val="00597102"/>
    <w:rsid w:val="0059713C"/>
    <w:rsid w:val="005A18E0"/>
    <w:rsid w:val="005A5C9C"/>
    <w:rsid w:val="005A78E1"/>
    <w:rsid w:val="005C0AC8"/>
    <w:rsid w:val="005D39D4"/>
    <w:rsid w:val="005E3460"/>
    <w:rsid w:val="005E3680"/>
    <w:rsid w:val="005E4526"/>
    <w:rsid w:val="005E631D"/>
    <w:rsid w:val="005F47E0"/>
    <w:rsid w:val="005F781F"/>
    <w:rsid w:val="00614820"/>
    <w:rsid w:val="00616538"/>
    <w:rsid w:val="00620C7F"/>
    <w:rsid w:val="00625D4D"/>
    <w:rsid w:val="00641067"/>
    <w:rsid w:val="00644D20"/>
    <w:rsid w:val="006468CF"/>
    <w:rsid w:val="0065681C"/>
    <w:rsid w:val="00656F27"/>
    <w:rsid w:val="006661FA"/>
    <w:rsid w:val="00667BAF"/>
    <w:rsid w:val="006750FB"/>
    <w:rsid w:val="00677927"/>
    <w:rsid w:val="00687541"/>
    <w:rsid w:val="006929F3"/>
    <w:rsid w:val="00694B18"/>
    <w:rsid w:val="00697172"/>
    <w:rsid w:val="006A45C6"/>
    <w:rsid w:val="006B1C9B"/>
    <w:rsid w:val="006B2F5C"/>
    <w:rsid w:val="006B337B"/>
    <w:rsid w:val="006E366C"/>
    <w:rsid w:val="006E4D86"/>
    <w:rsid w:val="006E719B"/>
    <w:rsid w:val="006E71A4"/>
    <w:rsid w:val="006F4F50"/>
    <w:rsid w:val="006F5FA7"/>
    <w:rsid w:val="00712420"/>
    <w:rsid w:val="007136C2"/>
    <w:rsid w:val="00720110"/>
    <w:rsid w:val="00726943"/>
    <w:rsid w:val="0072758D"/>
    <w:rsid w:val="007323F8"/>
    <w:rsid w:val="00732D03"/>
    <w:rsid w:val="00740587"/>
    <w:rsid w:val="00753853"/>
    <w:rsid w:val="007543CA"/>
    <w:rsid w:val="00756D5F"/>
    <w:rsid w:val="00763321"/>
    <w:rsid w:val="007732D7"/>
    <w:rsid w:val="00774069"/>
    <w:rsid w:val="00781849"/>
    <w:rsid w:val="0078274C"/>
    <w:rsid w:val="00782D4C"/>
    <w:rsid w:val="00787906"/>
    <w:rsid w:val="00791B32"/>
    <w:rsid w:val="00791D5E"/>
    <w:rsid w:val="007A1A3E"/>
    <w:rsid w:val="007A558B"/>
    <w:rsid w:val="007A7A85"/>
    <w:rsid w:val="007B0773"/>
    <w:rsid w:val="007B1669"/>
    <w:rsid w:val="007B403E"/>
    <w:rsid w:val="007C3F93"/>
    <w:rsid w:val="007C4CB1"/>
    <w:rsid w:val="007D065C"/>
    <w:rsid w:val="007D4192"/>
    <w:rsid w:val="007D583D"/>
    <w:rsid w:val="007D5951"/>
    <w:rsid w:val="007D63EC"/>
    <w:rsid w:val="007E6AB1"/>
    <w:rsid w:val="007F2DA5"/>
    <w:rsid w:val="007F42F1"/>
    <w:rsid w:val="007F76F5"/>
    <w:rsid w:val="007F784B"/>
    <w:rsid w:val="00804652"/>
    <w:rsid w:val="00822EF4"/>
    <w:rsid w:val="00823554"/>
    <w:rsid w:val="00827F90"/>
    <w:rsid w:val="00843A9F"/>
    <w:rsid w:val="00843AD3"/>
    <w:rsid w:val="00852EF4"/>
    <w:rsid w:val="008538BB"/>
    <w:rsid w:val="00863CDA"/>
    <w:rsid w:val="00870140"/>
    <w:rsid w:val="00872FCC"/>
    <w:rsid w:val="00873FC7"/>
    <w:rsid w:val="008747B7"/>
    <w:rsid w:val="0089764C"/>
    <w:rsid w:val="008A1DDB"/>
    <w:rsid w:val="008A29ED"/>
    <w:rsid w:val="008B1B67"/>
    <w:rsid w:val="008B29C5"/>
    <w:rsid w:val="008B3208"/>
    <w:rsid w:val="008C0256"/>
    <w:rsid w:val="008C6641"/>
    <w:rsid w:val="008C72D7"/>
    <w:rsid w:val="008C7499"/>
    <w:rsid w:val="008E09BF"/>
    <w:rsid w:val="008E4045"/>
    <w:rsid w:val="008E7061"/>
    <w:rsid w:val="008F3DCE"/>
    <w:rsid w:val="0090393F"/>
    <w:rsid w:val="0093370C"/>
    <w:rsid w:val="00934024"/>
    <w:rsid w:val="0093616A"/>
    <w:rsid w:val="00947734"/>
    <w:rsid w:val="009502C1"/>
    <w:rsid w:val="0095101F"/>
    <w:rsid w:val="0095152D"/>
    <w:rsid w:val="00952AE4"/>
    <w:rsid w:val="009564C9"/>
    <w:rsid w:val="009639B2"/>
    <w:rsid w:val="00966519"/>
    <w:rsid w:val="00971EC5"/>
    <w:rsid w:val="00991CD2"/>
    <w:rsid w:val="00992533"/>
    <w:rsid w:val="00992544"/>
    <w:rsid w:val="00993C65"/>
    <w:rsid w:val="009A07D7"/>
    <w:rsid w:val="009A0CE9"/>
    <w:rsid w:val="009A19CC"/>
    <w:rsid w:val="009A2177"/>
    <w:rsid w:val="009A50CC"/>
    <w:rsid w:val="009B2099"/>
    <w:rsid w:val="009B5C20"/>
    <w:rsid w:val="009B5F58"/>
    <w:rsid w:val="009D2967"/>
    <w:rsid w:val="009E2DD3"/>
    <w:rsid w:val="009E601E"/>
    <w:rsid w:val="009F0AC2"/>
    <w:rsid w:val="009F233D"/>
    <w:rsid w:val="009F43BC"/>
    <w:rsid w:val="009F5FD7"/>
    <w:rsid w:val="00A001D9"/>
    <w:rsid w:val="00A11F37"/>
    <w:rsid w:val="00A16711"/>
    <w:rsid w:val="00A24257"/>
    <w:rsid w:val="00A26CA6"/>
    <w:rsid w:val="00A30B4A"/>
    <w:rsid w:val="00A30D16"/>
    <w:rsid w:val="00A36F73"/>
    <w:rsid w:val="00A52742"/>
    <w:rsid w:val="00A77A3F"/>
    <w:rsid w:val="00A86675"/>
    <w:rsid w:val="00A9487F"/>
    <w:rsid w:val="00A978CE"/>
    <w:rsid w:val="00AA5F89"/>
    <w:rsid w:val="00AB078F"/>
    <w:rsid w:val="00AB3217"/>
    <w:rsid w:val="00AB5216"/>
    <w:rsid w:val="00AB564A"/>
    <w:rsid w:val="00AD64DC"/>
    <w:rsid w:val="00AE4838"/>
    <w:rsid w:val="00AF16E1"/>
    <w:rsid w:val="00AF564E"/>
    <w:rsid w:val="00AF5AAD"/>
    <w:rsid w:val="00AF68AC"/>
    <w:rsid w:val="00B157C9"/>
    <w:rsid w:val="00B21183"/>
    <w:rsid w:val="00B23CB7"/>
    <w:rsid w:val="00B25F1D"/>
    <w:rsid w:val="00B349A4"/>
    <w:rsid w:val="00B436E9"/>
    <w:rsid w:val="00B43EC3"/>
    <w:rsid w:val="00B4405E"/>
    <w:rsid w:val="00B53F26"/>
    <w:rsid w:val="00B57211"/>
    <w:rsid w:val="00B74EA6"/>
    <w:rsid w:val="00B80AD5"/>
    <w:rsid w:val="00B8277D"/>
    <w:rsid w:val="00B840E6"/>
    <w:rsid w:val="00B87D37"/>
    <w:rsid w:val="00B91194"/>
    <w:rsid w:val="00B944B2"/>
    <w:rsid w:val="00BA0CD0"/>
    <w:rsid w:val="00BA1178"/>
    <w:rsid w:val="00BB7153"/>
    <w:rsid w:val="00BC76CE"/>
    <w:rsid w:val="00BD262C"/>
    <w:rsid w:val="00BD5D82"/>
    <w:rsid w:val="00BE2657"/>
    <w:rsid w:val="00BE7AF6"/>
    <w:rsid w:val="00BF547C"/>
    <w:rsid w:val="00BF6685"/>
    <w:rsid w:val="00C00B81"/>
    <w:rsid w:val="00C1116F"/>
    <w:rsid w:val="00C138AE"/>
    <w:rsid w:val="00C15625"/>
    <w:rsid w:val="00C16D51"/>
    <w:rsid w:val="00C22A9F"/>
    <w:rsid w:val="00C232DA"/>
    <w:rsid w:val="00C33155"/>
    <w:rsid w:val="00C34F64"/>
    <w:rsid w:val="00C37214"/>
    <w:rsid w:val="00C6090D"/>
    <w:rsid w:val="00C63CA6"/>
    <w:rsid w:val="00C657E5"/>
    <w:rsid w:val="00C812EC"/>
    <w:rsid w:val="00C9089D"/>
    <w:rsid w:val="00C979D2"/>
    <w:rsid w:val="00CA5830"/>
    <w:rsid w:val="00CB1267"/>
    <w:rsid w:val="00CB2FEB"/>
    <w:rsid w:val="00CB4379"/>
    <w:rsid w:val="00CB4E1B"/>
    <w:rsid w:val="00CB6DF5"/>
    <w:rsid w:val="00CC2F19"/>
    <w:rsid w:val="00CD07EE"/>
    <w:rsid w:val="00CE0033"/>
    <w:rsid w:val="00CE09F4"/>
    <w:rsid w:val="00CE2443"/>
    <w:rsid w:val="00CF0060"/>
    <w:rsid w:val="00CF0ED5"/>
    <w:rsid w:val="00CF57BD"/>
    <w:rsid w:val="00CF5B53"/>
    <w:rsid w:val="00CF64B6"/>
    <w:rsid w:val="00D0791C"/>
    <w:rsid w:val="00D10710"/>
    <w:rsid w:val="00D11787"/>
    <w:rsid w:val="00D11D04"/>
    <w:rsid w:val="00D16223"/>
    <w:rsid w:val="00D257FB"/>
    <w:rsid w:val="00D270AC"/>
    <w:rsid w:val="00D31B79"/>
    <w:rsid w:val="00D32A04"/>
    <w:rsid w:val="00D33CB4"/>
    <w:rsid w:val="00D34755"/>
    <w:rsid w:val="00D5197E"/>
    <w:rsid w:val="00D555E0"/>
    <w:rsid w:val="00D62C0E"/>
    <w:rsid w:val="00D72E1B"/>
    <w:rsid w:val="00D77BA4"/>
    <w:rsid w:val="00D80708"/>
    <w:rsid w:val="00D82561"/>
    <w:rsid w:val="00D84A0C"/>
    <w:rsid w:val="00D865DF"/>
    <w:rsid w:val="00D96AE4"/>
    <w:rsid w:val="00DA3F5C"/>
    <w:rsid w:val="00DA620B"/>
    <w:rsid w:val="00DC1B3E"/>
    <w:rsid w:val="00DC3C27"/>
    <w:rsid w:val="00DC77A8"/>
    <w:rsid w:val="00DE7ED3"/>
    <w:rsid w:val="00DF067E"/>
    <w:rsid w:val="00DF378F"/>
    <w:rsid w:val="00E03BC0"/>
    <w:rsid w:val="00E0572A"/>
    <w:rsid w:val="00E10A82"/>
    <w:rsid w:val="00E112BB"/>
    <w:rsid w:val="00E141DF"/>
    <w:rsid w:val="00E15633"/>
    <w:rsid w:val="00E26563"/>
    <w:rsid w:val="00E3193E"/>
    <w:rsid w:val="00E37A86"/>
    <w:rsid w:val="00E417D3"/>
    <w:rsid w:val="00E45088"/>
    <w:rsid w:val="00E515A7"/>
    <w:rsid w:val="00E52DF2"/>
    <w:rsid w:val="00E677CF"/>
    <w:rsid w:val="00E73687"/>
    <w:rsid w:val="00E736AB"/>
    <w:rsid w:val="00E827E0"/>
    <w:rsid w:val="00E83692"/>
    <w:rsid w:val="00E85463"/>
    <w:rsid w:val="00E917CF"/>
    <w:rsid w:val="00E931E0"/>
    <w:rsid w:val="00EB6738"/>
    <w:rsid w:val="00EC3CF9"/>
    <w:rsid w:val="00ED0F28"/>
    <w:rsid w:val="00EE31AF"/>
    <w:rsid w:val="00EF6CD7"/>
    <w:rsid w:val="00F23EC0"/>
    <w:rsid w:val="00F36AEA"/>
    <w:rsid w:val="00F4607A"/>
    <w:rsid w:val="00F607E9"/>
    <w:rsid w:val="00F67598"/>
    <w:rsid w:val="00F8239F"/>
    <w:rsid w:val="00F834C3"/>
    <w:rsid w:val="00F9550D"/>
    <w:rsid w:val="00F96F84"/>
    <w:rsid w:val="00FA0920"/>
    <w:rsid w:val="00FA2DAD"/>
    <w:rsid w:val="00FB75D5"/>
    <w:rsid w:val="00FC79C0"/>
    <w:rsid w:val="00FD2545"/>
    <w:rsid w:val="00FE220E"/>
    <w:rsid w:val="00FE5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D31E"/>
  <w15:chartTrackingRefBased/>
  <w15:docId w15:val="{49B8EC2C-5A86-024F-BB55-F66BE8B8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4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7C6"/>
    <w:rPr>
      <w:sz w:val="18"/>
      <w:szCs w:val="18"/>
    </w:rPr>
  </w:style>
  <w:style w:type="character" w:customStyle="1" w:styleId="BalloonTextChar">
    <w:name w:val="Balloon Text Char"/>
    <w:basedOn w:val="DefaultParagraphFont"/>
    <w:link w:val="BalloonText"/>
    <w:uiPriority w:val="99"/>
    <w:semiHidden/>
    <w:rsid w:val="004267C6"/>
    <w:rPr>
      <w:rFonts w:ascii="Times New Roman" w:hAnsi="Times New Roman" w:cs="Times New Roman"/>
      <w:sz w:val="18"/>
      <w:szCs w:val="18"/>
    </w:rPr>
  </w:style>
  <w:style w:type="paragraph" w:styleId="Header">
    <w:name w:val="header"/>
    <w:basedOn w:val="Normal"/>
    <w:link w:val="HeaderChar"/>
    <w:uiPriority w:val="99"/>
    <w:unhideWhenUsed/>
    <w:rsid w:val="004267C6"/>
    <w:pPr>
      <w:tabs>
        <w:tab w:val="center" w:pos="4680"/>
        <w:tab w:val="right" w:pos="9360"/>
      </w:tabs>
    </w:pPr>
  </w:style>
  <w:style w:type="character" w:customStyle="1" w:styleId="HeaderChar">
    <w:name w:val="Header Char"/>
    <w:basedOn w:val="DefaultParagraphFont"/>
    <w:link w:val="Header"/>
    <w:uiPriority w:val="99"/>
    <w:rsid w:val="004267C6"/>
  </w:style>
  <w:style w:type="paragraph" w:styleId="Footer">
    <w:name w:val="footer"/>
    <w:basedOn w:val="Normal"/>
    <w:link w:val="FooterChar"/>
    <w:uiPriority w:val="99"/>
    <w:unhideWhenUsed/>
    <w:rsid w:val="004267C6"/>
    <w:pPr>
      <w:tabs>
        <w:tab w:val="center" w:pos="4680"/>
        <w:tab w:val="right" w:pos="9360"/>
      </w:tabs>
    </w:pPr>
  </w:style>
  <w:style w:type="character" w:customStyle="1" w:styleId="FooterChar">
    <w:name w:val="Footer Char"/>
    <w:basedOn w:val="DefaultParagraphFont"/>
    <w:link w:val="Footer"/>
    <w:uiPriority w:val="99"/>
    <w:rsid w:val="004267C6"/>
  </w:style>
  <w:style w:type="character" w:styleId="CommentReference">
    <w:name w:val="annotation reference"/>
    <w:basedOn w:val="DefaultParagraphFont"/>
    <w:uiPriority w:val="99"/>
    <w:semiHidden/>
    <w:unhideWhenUsed/>
    <w:rsid w:val="00667BAF"/>
    <w:rPr>
      <w:sz w:val="16"/>
      <w:szCs w:val="16"/>
    </w:rPr>
  </w:style>
  <w:style w:type="paragraph" w:styleId="CommentText">
    <w:name w:val="annotation text"/>
    <w:basedOn w:val="Normal"/>
    <w:link w:val="CommentTextChar"/>
    <w:uiPriority w:val="99"/>
    <w:semiHidden/>
    <w:unhideWhenUsed/>
    <w:rsid w:val="00667BAF"/>
    <w:rPr>
      <w:sz w:val="20"/>
      <w:szCs w:val="20"/>
    </w:rPr>
  </w:style>
  <w:style w:type="character" w:customStyle="1" w:styleId="CommentTextChar">
    <w:name w:val="Comment Text Char"/>
    <w:basedOn w:val="DefaultParagraphFont"/>
    <w:link w:val="CommentText"/>
    <w:uiPriority w:val="99"/>
    <w:semiHidden/>
    <w:rsid w:val="00667BAF"/>
    <w:rPr>
      <w:sz w:val="20"/>
      <w:szCs w:val="20"/>
    </w:rPr>
  </w:style>
  <w:style w:type="paragraph" w:styleId="CommentSubject">
    <w:name w:val="annotation subject"/>
    <w:basedOn w:val="CommentText"/>
    <w:next w:val="CommentText"/>
    <w:link w:val="CommentSubjectChar"/>
    <w:uiPriority w:val="99"/>
    <w:semiHidden/>
    <w:unhideWhenUsed/>
    <w:rsid w:val="00D865DF"/>
    <w:rPr>
      <w:b/>
      <w:bCs/>
    </w:rPr>
  </w:style>
  <w:style w:type="character" w:customStyle="1" w:styleId="CommentSubjectChar">
    <w:name w:val="Comment Subject Char"/>
    <w:basedOn w:val="CommentTextChar"/>
    <w:link w:val="CommentSubject"/>
    <w:uiPriority w:val="99"/>
    <w:semiHidden/>
    <w:rsid w:val="00D865DF"/>
    <w:rPr>
      <w:b/>
      <w:bCs/>
      <w:sz w:val="20"/>
      <w:szCs w:val="20"/>
    </w:rPr>
  </w:style>
  <w:style w:type="character" w:styleId="Hyperlink">
    <w:name w:val="Hyperlink"/>
    <w:basedOn w:val="DefaultParagraphFont"/>
    <w:uiPriority w:val="99"/>
    <w:unhideWhenUsed/>
    <w:rsid w:val="0003630B"/>
    <w:rPr>
      <w:color w:val="0563C1" w:themeColor="hyperlink"/>
      <w:u w:val="single"/>
    </w:rPr>
  </w:style>
  <w:style w:type="character" w:styleId="UnresolvedMention">
    <w:name w:val="Unresolved Mention"/>
    <w:basedOn w:val="DefaultParagraphFont"/>
    <w:uiPriority w:val="99"/>
    <w:semiHidden/>
    <w:unhideWhenUsed/>
    <w:rsid w:val="0003630B"/>
    <w:rPr>
      <w:color w:val="605E5C"/>
      <w:shd w:val="clear" w:color="auto" w:fill="E1DFDD"/>
    </w:rPr>
  </w:style>
  <w:style w:type="character" w:styleId="FollowedHyperlink">
    <w:name w:val="FollowedHyperlink"/>
    <w:basedOn w:val="DefaultParagraphFont"/>
    <w:uiPriority w:val="99"/>
    <w:semiHidden/>
    <w:unhideWhenUsed/>
    <w:rsid w:val="00D555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0024">
      <w:bodyDiv w:val="1"/>
      <w:marLeft w:val="0"/>
      <w:marRight w:val="0"/>
      <w:marTop w:val="0"/>
      <w:marBottom w:val="0"/>
      <w:divBdr>
        <w:top w:val="none" w:sz="0" w:space="0" w:color="auto"/>
        <w:left w:val="none" w:sz="0" w:space="0" w:color="auto"/>
        <w:bottom w:val="none" w:sz="0" w:space="0" w:color="auto"/>
        <w:right w:val="none" w:sz="0" w:space="0" w:color="auto"/>
      </w:divBdr>
    </w:div>
    <w:div w:id="134183875">
      <w:bodyDiv w:val="1"/>
      <w:marLeft w:val="0"/>
      <w:marRight w:val="0"/>
      <w:marTop w:val="0"/>
      <w:marBottom w:val="0"/>
      <w:divBdr>
        <w:top w:val="none" w:sz="0" w:space="0" w:color="auto"/>
        <w:left w:val="none" w:sz="0" w:space="0" w:color="auto"/>
        <w:bottom w:val="none" w:sz="0" w:space="0" w:color="auto"/>
        <w:right w:val="none" w:sz="0" w:space="0" w:color="auto"/>
      </w:divBdr>
    </w:div>
    <w:div w:id="204831902">
      <w:bodyDiv w:val="1"/>
      <w:marLeft w:val="0"/>
      <w:marRight w:val="0"/>
      <w:marTop w:val="0"/>
      <w:marBottom w:val="0"/>
      <w:divBdr>
        <w:top w:val="none" w:sz="0" w:space="0" w:color="auto"/>
        <w:left w:val="none" w:sz="0" w:space="0" w:color="auto"/>
        <w:bottom w:val="none" w:sz="0" w:space="0" w:color="auto"/>
        <w:right w:val="none" w:sz="0" w:space="0" w:color="auto"/>
      </w:divBdr>
    </w:div>
    <w:div w:id="242765974">
      <w:bodyDiv w:val="1"/>
      <w:marLeft w:val="0"/>
      <w:marRight w:val="0"/>
      <w:marTop w:val="0"/>
      <w:marBottom w:val="0"/>
      <w:divBdr>
        <w:top w:val="none" w:sz="0" w:space="0" w:color="auto"/>
        <w:left w:val="none" w:sz="0" w:space="0" w:color="auto"/>
        <w:bottom w:val="none" w:sz="0" w:space="0" w:color="auto"/>
        <w:right w:val="none" w:sz="0" w:space="0" w:color="auto"/>
      </w:divBdr>
    </w:div>
    <w:div w:id="287246267">
      <w:bodyDiv w:val="1"/>
      <w:marLeft w:val="0"/>
      <w:marRight w:val="0"/>
      <w:marTop w:val="0"/>
      <w:marBottom w:val="0"/>
      <w:divBdr>
        <w:top w:val="none" w:sz="0" w:space="0" w:color="auto"/>
        <w:left w:val="none" w:sz="0" w:space="0" w:color="auto"/>
        <w:bottom w:val="none" w:sz="0" w:space="0" w:color="auto"/>
        <w:right w:val="none" w:sz="0" w:space="0" w:color="auto"/>
      </w:divBdr>
    </w:div>
    <w:div w:id="323819468">
      <w:bodyDiv w:val="1"/>
      <w:marLeft w:val="0"/>
      <w:marRight w:val="0"/>
      <w:marTop w:val="0"/>
      <w:marBottom w:val="0"/>
      <w:divBdr>
        <w:top w:val="none" w:sz="0" w:space="0" w:color="auto"/>
        <w:left w:val="none" w:sz="0" w:space="0" w:color="auto"/>
        <w:bottom w:val="none" w:sz="0" w:space="0" w:color="auto"/>
        <w:right w:val="none" w:sz="0" w:space="0" w:color="auto"/>
      </w:divBdr>
    </w:div>
    <w:div w:id="438528183">
      <w:bodyDiv w:val="1"/>
      <w:marLeft w:val="0"/>
      <w:marRight w:val="0"/>
      <w:marTop w:val="0"/>
      <w:marBottom w:val="0"/>
      <w:divBdr>
        <w:top w:val="none" w:sz="0" w:space="0" w:color="auto"/>
        <w:left w:val="none" w:sz="0" w:space="0" w:color="auto"/>
        <w:bottom w:val="none" w:sz="0" w:space="0" w:color="auto"/>
        <w:right w:val="none" w:sz="0" w:space="0" w:color="auto"/>
      </w:divBdr>
    </w:div>
    <w:div w:id="503204032">
      <w:bodyDiv w:val="1"/>
      <w:marLeft w:val="0"/>
      <w:marRight w:val="0"/>
      <w:marTop w:val="0"/>
      <w:marBottom w:val="0"/>
      <w:divBdr>
        <w:top w:val="none" w:sz="0" w:space="0" w:color="auto"/>
        <w:left w:val="none" w:sz="0" w:space="0" w:color="auto"/>
        <w:bottom w:val="none" w:sz="0" w:space="0" w:color="auto"/>
        <w:right w:val="none" w:sz="0" w:space="0" w:color="auto"/>
      </w:divBdr>
    </w:div>
    <w:div w:id="511337090">
      <w:bodyDiv w:val="1"/>
      <w:marLeft w:val="0"/>
      <w:marRight w:val="0"/>
      <w:marTop w:val="0"/>
      <w:marBottom w:val="0"/>
      <w:divBdr>
        <w:top w:val="none" w:sz="0" w:space="0" w:color="auto"/>
        <w:left w:val="none" w:sz="0" w:space="0" w:color="auto"/>
        <w:bottom w:val="none" w:sz="0" w:space="0" w:color="auto"/>
        <w:right w:val="none" w:sz="0" w:space="0" w:color="auto"/>
      </w:divBdr>
    </w:div>
    <w:div w:id="519977441">
      <w:bodyDiv w:val="1"/>
      <w:marLeft w:val="0"/>
      <w:marRight w:val="0"/>
      <w:marTop w:val="0"/>
      <w:marBottom w:val="0"/>
      <w:divBdr>
        <w:top w:val="none" w:sz="0" w:space="0" w:color="auto"/>
        <w:left w:val="none" w:sz="0" w:space="0" w:color="auto"/>
        <w:bottom w:val="none" w:sz="0" w:space="0" w:color="auto"/>
        <w:right w:val="none" w:sz="0" w:space="0" w:color="auto"/>
      </w:divBdr>
    </w:div>
    <w:div w:id="521360939">
      <w:bodyDiv w:val="1"/>
      <w:marLeft w:val="0"/>
      <w:marRight w:val="0"/>
      <w:marTop w:val="0"/>
      <w:marBottom w:val="0"/>
      <w:divBdr>
        <w:top w:val="none" w:sz="0" w:space="0" w:color="auto"/>
        <w:left w:val="none" w:sz="0" w:space="0" w:color="auto"/>
        <w:bottom w:val="none" w:sz="0" w:space="0" w:color="auto"/>
        <w:right w:val="none" w:sz="0" w:space="0" w:color="auto"/>
      </w:divBdr>
    </w:div>
    <w:div w:id="594442174">
      <w:bodyDiv w:val="1"/>
      <w:marLeft w:val="0"/>
      <w:marRight w:val="0"/>
      <w:marTop w:val="0"/>
      <w:marBottom w:val="0"/>
      <w:divBdr>
        <w:top w:val="none" w:sz="0" w:space="0" w:color="auto"/>
        <w:left w:val="none" w:sz="0" w:space="0" w:color="auto"/>
        <w:bottom w:val="none" w:sz="0" w:space="0" w:color="auto"/>
        <w:right w:val="none" w:sz="0" w:space="0" w:color="auto"/>
      </w:divBdr>
    </w:div>
    <w:div w:id="648677490">
      <w:bodyDiv w:val="1"/>
      <w:marLeft w:val="0"/>
      <w:marRight w:val="0"/>
      <w:marTop w:val="0"/>
      <w:marBottom w:val="0"/>
      <w:divBdr>
        <w:top w:val="none" w:sz="0" w:space="0" w:color="auto"/>
        <w:left w:val="none" w:sz="0" w:space="0" w:color="auto"/>
        <w:bottom w:val="none" w:sz="0" w:space="0" w:color="auto"/>
        <w:right w:val="none" w:sz="0" w:space="0" w:color="auto"/>
      </w:divBdr>
    </w:div>
    <w:div w:id="687636118">
      <w:bodyDiv w:val="1"/>
      <w:marLeft w:val="0"/>
      <w:marRight w:val="0"/>
      <w:marTop w:val="0"/>
      <w:marBottom w:val="0"/>
      <w:divBdr>
        <w:top w:val="none" w:sz="0" w:space="0" w:color="auto"/>
        <w:left w:val="none" w:sz="0" w:space="0" w:color="auto"/>
        <w:bottom w:val="none" w:sz="0" w:space="0" w:color="auto"/>
        <w:right w:val="none" w:sz="0" w:space="0" w:color="auto"/>
      </w:divBdr>
    </w:div>
    <w:div w:id="697775863">
      <w:bodyDiv w:val="1"/>
      <w:marLeft w:val="0"/>
      <w:marRight w:val="0"/>
      <w:marTop w:val="0"/>
      <w:marBottom w:val="0"/>
      <w:divBdr>
        <w:top w:val="none" w:sz="0" w:space="0" w:color="auto"/>
        <w:left w:val="none" w:sz="0" w:space="0" w:color="auto"/>
        <w:bottom w:val="none" w:sz="0" w:space="0" w:color="auto"/>
        <w:right w:val="none" w:sz="0" w:space="0" w:color="auto"/>
      </w:divBdr>
    </w:div>
    <w:div w:id="727218344">
      <w:bodyDiv w:val="1"/>
      <w:marLeft w:val="0"/>
      <w:marRight w:val="0"/>
      <w:marTop w:val="0"/>
      <w:marBottom w:val="0"/>
      <w:divBdr>
        <w:top w:val="none" w:sz="0" w:space="0" w:color="auto"/>
        <w:left w:val="none" w:sz="0" w:space="0" w:color="auto"/>
        <w:bottom w:val="none" w:sz="0" w:space="0" w:color="auto"/>
        <w:right w:val="none" w:sz="0" w:space="0" w:color="auto"/>
      </w:divBdr>
    </w:div>
    <w:div w:id="731343211">
      <w:bodyDiv w:val="1"/>
      <w:marLeft w:val="0"/>
      <w:marRight w:val="0"/>
      <w:marTop w:val="0"/>
      <w:marBottom w:val="0"/>
      <w:divBdr>
        <w:top w:val="none" w:sz="0" w:space="0" w:color="auto"/>
        <w:left w:val="none" w:sz="0" w:space="0" w:color="auto"/>
        <w:bottom w:val="none" w:sz="0" w:space="0" w:color="auto"/>
        <w:right w:val="none" w:sz="0" w:space="0" w:color="auto"/>
      </w:divBdr>
    </w:div>
    <w:div w:id="771627444">
      <w:bodyDiv w:val="1"/>
      <w:marLeft w:val="0"/>
      <w:marRight w:val="0"/>
      <w:marTop w:val="0"/>
      <w:marBottom w:val="0"/>
      <w:divBdr>
        <w:top w:val="none" w:sz="0" w:space="0" w:color="auto"/>
        <w:left w:val="none" w:sz="0" w:space="0" w:color="auto"/>
        <w:bottom w:val="none" w:sz="0" w:space="0" w:color="auto"/>
        <w:right w:val="none" w:sz="0" w:space="0" w:color="auto"/>
      </w:divBdr>
    </w:div>
    <w:div w:id="824902872">
      <w:bodyDiv w:val="1"/>
      <w:marLeft w:val="0"/>
      <w:marRight w:val="0"/>
      <w:marTop w:val="0"/>
      <w:marBottom w:val="0"/>
      <w:divBdr>
        <w:top w:val="none" w:sz="0" w:space="0" w:color="auto"/>
        <w:left w:val="none" w:sz="0" w:space="0" w:color="auto"/>
        <w:bottom w:val="none" w:sz="0" w:space="0" w:color="auto"/>
        <w:right w:val="none" w:sz="0" w:space="0" w:color="auto"/>
      </w:divBdr>
    </w:div>
    <w:div w:id="1160924545">
      <w:bodyDiv w:val="1"/>
      <w:marLeft w:val="0"/>
      <w:marRight w:val="0"/>
      <w:marTop w:val="0"/>
      <w:marBottom w:val="0"/>
      <w:divBdr>
        <w:top w:val="none" w:sz="0" w:space="0" w:color="auto"/>
        <w:left w:val="none" w:sz="0" w:space="0" w:color="auto"/>
        <w:bottom w:val="none" w:sz="0" w:space="0" w:color="auto"/>
        <w:right w:val="none" w:sz="0" w:space="0" w:color="auto"/>
      </w:divBdr>
    </w:div>
    <w:div w:id="1169367571">
      <w:bodyDiv w:val="1"/>
      <w:marLeft w:val="0"/>
      <w:marRight w:val="0"/>
      <w:marTop w:val="0"/>
      <w:marBottom w:val="0"/>
      <w:divBdr>
        <w:top w:val="none" w:sz="0" w:space="0" w:color="auto"/>
        <w:left w:val="none" w:sz="0" w:space="0" w:color="auto"/>
        <w:bottom w:val="none" w:sz="0" w:space="0" w:color="auto"/>
        <w:right w:val="none" w:sz="0" w:space="0" w:color="auto"/>
      </w:divBdr>
    </w:div>
    <w:div w:id="1213345132">
      <w:bodyDiv w:val="1"/>
      <w:marLeft w:val="0"/>
      <w:marRight w:val="0"/>
      <w:marTop w:val="0"/>
      <w:marBottom w:val="0"/>
      <w:divBdr>
        <w:top w:val="none" w:sz="0" w:space="0" w:color="auto"/>
        <w:left w:val="none" w:sz="0" w:space="0" w:color="auto"/>
        <w:bottom w:val="none" w:sz="0" w:space="0" w:color="auto"/>
        <w:right w:val="none" w:sz="0" w:space="0" w:color="auto"/>
      </w:divBdr>
    </w:div>
    <w:div w:id="1218511655">
      <w:bodyDiv w:val="1"/>
      <w:marLeft w:val="0"/>
      <w:marRight w:val="0"/>
      <w:marTop w:val="0"/>
      <w:marBottom w:val="0"/>
      <w:divBdr>
        <w:top w:val="none" w:sz="0" w:space="0" w:color="auto"/>
        <w:left w:val="none" w:sz="0" w:space="0" w:color="auto"/>
        <w:bottom w:val="none" w:sz="0" w:space="0" w:color="auto"/>
        <w:right w:val="none" w:sz="0" w:space="0" w:color="auto"/>
      </w:divBdr>
    </w:div>
    <w:div w:id="1239903898">
      <w:bodyDiv w:val="1"/>
      <w:marLeft w:val="0"/>
      <w:marRight w:val="0"/>
      <w:marTop w:val="0"/>
      <w:marBottom w:val="0"/>
      <w:divBdr>
        <w:top w:val="none" w:sz="0" w:space="0" w:color="auto"/>
        <w:left w:val="none" w:sz="0" w:space="0" w:color="auto"/>
        <w:bottom w:val="none" w:sz="0" w:space="0" w:color="auto"/>
        <w:right w:val="none" w:sz="0" w:space="0" w:color="auto"/>
      </w:divBdr>
    </w:div>
    <w:div w:id="1250388985">
      <w:bodyDiv w:val="1"/>
      <w:marLeft w:val="0"/>
      <w:marRight w:val="0"/>
      <w:marTop w:val="0"/>
      <w:marBottom w:val="0"/>
      <w:divBdr>
        <w:top w:val="none" w:sz="0" w:space="0" w:color="auto"/>
        <w:left w:val="none" w:sz="0" w:space="0" w:color="auto"/>
        <w:bottom w:val="none" w:sz="0" w:space="0" w:color="auto"/>
        <w:right w:val="none" w:sz="0" w:space="0" w:color="auto"/>
      </w:divBdr>
    </w:div>
    <w:div w:id="1263033125">
      <w:bodyDiv w:val="1"/>
      <w:marLeft w:val="0"/>
      <w:marRight w:val="0"/>
      <w:marTop w:val="0"/>
      <w:marBottom w:val="0"/>
      <w:divBdr>
        <w:top w:val="none" w:sz="0" w:space="0" w:color="auto"/>
        <w:left w:val="none" w:sz="0" w:space="0" w:color="auto"/>
        <w:bottom w:val="none" w:sz="0" w:space="0" w:color="auto"/>
        <w:right w:val="none" w:sz="0" w:space="0" w:color="auto"/>
      </w:divBdr>
    </w:div>
    <w:div w:id="1352030980">
      <w:bodyDiv w:val="1"/>
      <w:marLeft w:val="0"/>
      <w:marRight w:val="0"/>
      <w:marTop w:val="0"/>
      <w:marBottom w:val="0"/>
      <w:divBdr>
        <w:top w:val="none" w:sz="0" w:space="0" w:color="auto"/>
        <w:left w:val="none" w:sz="0" w:space="0" w:color="auto"/>
        <w:bottom w:val="none" w:sz="0" w:space="0" w:color="auto"/>
        <w:right w:val="none" w:sz="0" w:space="0" w:color="auto"/>
      </w:divBdr>
    </w:div>
    <w:div w:id="1402678445">
      <w:bodyDiv w:val="1"/>
      <w:marLeft w:val="0"/>
      <w:marRight w:val="0"/>
      <w:marTop w:val="0"/>
      <w:marBottom w:val="0"/>
      <w:divBdr>
        <w:top w:val="none" w:sz="0" w:space="0" w:color="auto"/>
        <w:left w:val="none" w:sz="0" w:space="0" w:color="auto"/>
        <w:bottom w:val="none" w:sz="0" w:space="0" w:color="auto"/>
        <w:right w:val="none" w:sz="0" w:space="0" w:color="auto"/>
      </w:divBdr>
    </w:div>
    <w:div w:id="1466266766">
      <w:bodyDiv w:val="1"/>
      <w:marLeft w:val="0"/>
      <w:marRight w:val="0"/>
      <w:marTop w:val="0"/>
      <w:marBottom w:val="0"/>
      <w:divBdr>
        <w:top w:val="none" w:sz="0" w:space="0" w:color="auto"/>
        <w:left w:val="none" w:sz="0" w:space="0" w:color="auto"/>
        <w:bottom w:val="none" w:sz="0" w:space="0" w:color="auto"/>
        <w:right w:val="none" w:sz="0" w:space="0" w:color="auto"/>
      </w:divBdr>
    </w:div>
    <w:div w:id="1496721883">
      <w:bodyDiv w:val="1"/>
      <w:marLeft w:val="0"/>
      <w:marRight w:val="0"/>
      <w:marTop w:val="0"/>
      <w:marBottom w:val="0"/>
      <w:divBdr>
        <w:top w:val="none" w:sz="0" w:space="0" w:color="auto"/>
        <w:left w:val="none" w:sz="0" w:space="0" w:color="auto"/>
        <w:bottom w:val="none" w:sz="0" w:space="0" w:color="auto"/>
        <w:right w:val="none" w:sz="0" w:space="0" w:color="auto"/>
      </w:divBdr>
    </w:div>
    <w:div w:id="1511482587">
      <w:bodyDiv w:val="1"/>
      <w:marLeft w:val="0"/>
      <w:marRight w:val="0"/>
      <w:marTop w:val="0"/>
      <w:marBottom w:val="0"/>
      <w:divBdr>
        <w:top w:val="none" w:sz="0" w:space="0" w:color="auto"/>
        <w:left w:val="none" w:sz="0" w:space="0" w:color="auto"/>
        <w:bottom w:val="none" w:sz="0" w:space="0" w:color="auto"/>
        <w:right w:val="none" w:sz="0" w:space="0" w:color="auto"/>
      </w:divBdr>
    </w:div>
    <w:div w:id="1532763712">
      <w:bodyDiv w:val="1"/>
      <w:marLeft w:val="0"/>
      <w:marRight w:val="0"/>
      <w:marTop w:val="0"/>
      <w:marBottom w:val="0"/>
      <w:divBdr>
        <w:top w:val="none" w:sz="0" w:space="0" w:color="auto"/>
        <w:left w:val="none" w:sz="0" w:space="0" w:color="auto"/>
        <w:bottom w:val="none" w:sz="0" w:space="0" w:color="auto"/>
        <w:right w:val="none" w:sz="0" w:space="0" w:color="auto"/>
      </w:divBdr>
    </w:div>
    <w:div w:id="1641381660">
      <w:bodyDiv w:val="1"/>
      <w:marLeft w:val="0"/>
      <w:marRight w:val="0"/>
      <w:marTop w:val="0"/>
      <w:marBottom w:val="0"/>
      <w:divBdr>
        <w:top w:val="none" w:sz="0" w:space="0" w:color="auto"/>
        <w:left w:val="none" w:sz="0" w:space="0" w:color="auto"/>
        <w:bottom w:val="none" w:sz="0" w:space="0" w:color="auto"/>
        <w:right w:val="none" w:sz="0" w:space="0" w:color="auto"/>
      </w:divBdr>
    </w:div>
    <w:div w:id="1667629594">
      <w:bodyDiv w:val="1"/>
      <w:marLeft w:val="0"/>
      <w:marRight w:val="0"/>
      <w:marTop w:val="0"/>
      <w:marBottom w:val="0"/>
      <w:divBdr>
        <w:top w:val="none" w:sz="0" w:space="0" w:color="auto"/>
        <w:left w:val="none" w:sz="0" w:space="0" w:color="auto"/>
        <w:bottom w:val="none" w:sz="0" w:space="0" w:color="auto"/>
        <w:right w:val="none" w:sz="0" w:space="0" w:color="auto"/>
      </w:divBdr>
    </w:div>
    <w:div w:id="1828282489">
      <w:bodyDiv w:val="1"/>
      <w:marLeft w:val="0"/>
      <w:marRight w:val="0"/>
      <w:marTop w:val="0"/>
      <w:marBottom w:val="0"/>
      <w:divBdr>
        <w:top w:val="none" w:sz="0" w:space="0" w:color="auto"/>
        <w:left w:val="none" w:sz="0" w:space="0" w:color="auto"/>
        <w:bottom w:val="none" w:sz="0" w:space="0" w:color="auto"/>
        <w:right w:val="none" w:sz="0" w:space="0" w:color="auto"/>
      </w:divBdr>
    </w:div>
    <w:div w:id="1886716388">
      <w:bodyDiv w:val="1"/>
      <w:marLeft w:val="0"/>
      <w:marRight w:val="0"/>
      <w:marTop w:val="0"/>
      <w:marBottom w:val="0"/>
      <w:divBdr>
        <w:top w:val="none" w:sz="0" w:space="0" w:color="auto"/>
        <w:left w:val="none" w:sz="0" w:space="0" w:color="auto"/>
        <w:bottom w:val="none" w:sz="0" w:space="0" w:color="auto"/>
        <w:right w:val="none" w:sz="0" w:space="0" w:color="auto"/>
      </w:divBdr>
    </w:div>
    <w:div w:id="1893540291">
      <w:bodyDiv w:val="1"/>
      <w:marLeft w:val="0"/>
      <w:marRight w:val="0"/>
      <w:marTop w:val="0"/>
      <w:marBottom w:val="0"/>
      <w:divBdr>
        <w:top w:val="none" w:sz="0" w:space="0" w:color="auto"/>
        <w:left w:val="none" w:sz="0" w:space="0" w:color="auto"/>
        <w:bottom w:val="none" w:sz="0" w:space="0" w:color="auto"/>
        <w:right w:val="none" w:sz="0" w:space="0" w:color="auto"/>
      </w:divBdr>
    </w:div>
    <w:div w:id="1980499455">
      <w:bodyDiv w:val="1"/>
      <w:marLeft w:val="0"/>
      <w:marRight w:val="0"/>
      <w:marTop w:val="0"/>
      <w:marBottom w:val="0"/>
      <w:divBdr>
        <w:top w:val="none" w:sz="0" w:space="0" w:color="auto"/>
        <w:left w:val="none" w:sz="0" w:space="0" w:color="auto"/>
        <w:bottom w:val="none" w:sz="0" w:space="0" w:color="auto"/>
        <w:right w:val="none" w:sz="0" w:space="0" w:color="auto"/>
      </w:divBdr>
    </w:div>
    <w:div w:id="1983806077">
      <w:bodyDiv w:val="1"/>
      <w:marLeft w:val="0"/>
      <w:marRight w:val="0"/>
      <w:marTop w:val="0"/>
      <w:marBottom w:val="0"/>
      <w:divBdr>
        <w:top w:val="none" w:sz="0" w:space="0" w:color="auto"/>
        <w:left w:val="none" w:sz="0" w:space="0" w:color="auto"/>
        <w:bottom w:val="none" w:sz="0" w:space="0" w:color="auto"/>
        <w:right w:val="none" w:sz="0" w:space="0" w:color="auto"/>
      </w:divBdr>
    </w:div>
    <w:div w:id="2022584624">
      <w:bodyDiv w:val="1"/>
      <w:marLeft w:val="0"/>
      <w:marRight w:val="0"/>
      <w:marTop w:val="0"/>
      <w:marBottom w:val="0"/>
      <w:divBdr>
        <w:top w:val="none" w:sz="0" w:space="0" w:color="auto"/>
        <w:left w:val="none" w:sz="0" w:space="0" w:color="auto"/>
        <w:bottom w:val="none" w:sz="0" w:space="0" w:color="auto"/>
        <w:right w:val="none" w:sz="0" w:space="0" w:color="auto"/>
      </w:divBdr>
    </w:div>
    <w:div w:id="20555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2019-04-01/police-officer-admits-intimate-relationship-with-lawyer-x/10959990" TargetMode="External"/><Relationship Id="rId13" Type="http://schemas.openxmlformats.org/officeDocument/2006/relationships/hyperlink" Target="https://www.news.com.au/national/victoria/courts-law/lawyer-x-cop-to-be-named-in-one-of-the-greatest-scandals-of-our-time/news-story/71f853a076214853ef31531ff9d180c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5.austlii.edu.au/au/legis/vic/consol_act/cpa2009188/s276.html" TargetMode="External"/><Relationship Id="rId12" Type="http://schemas.openxmlformats.org/officeDocument/2006/relationships/hyperlink" Target="https://www.theage.com.au/national/victoria/gobbo-complaints-have-air-of-unreality-says-royal-commission-lawyer-20200928-p5601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abc.net.au/news/2020-02-07/generic-graphic:-carl-williams,-nicola-gobbo-and-tony-mokbel/11942310?nw=0" TargetMode="External"/><Relationship Id="rId11" Type="http://schemas.openxmlformats.org/officeDocument/2006/relationships/hyperlink" Target="https://www.abc.net.au/news/2020-09-09/nicola-gobbo-why-she-became-lawyer-x/12618940" TargetMode="External"/><Relationship Id="rId5" Type="http://schemas.openxmlformats.org/officeDocument/2006/relationships/endnotes" Target="endnotes.xml"/><Relationship Id="rId15" Type="http://schemas.openxmlformats.org/officeDocument/2006/relationships/hyperlink" Target="https://www.abc.net.au/news/2017-04-21/stephen-john-asling-sentenced-gangland-graham-kinniburgh/8460424" TargetMode="External"/><Relationship Id="rId10" Type="http://schemas.openxmlformats.org/officeDocument/2006/relationships/hyperlink" Target="https://www.heraldsun.com.au/news/law-order/tony-mokbels-drug-connections/newsstory/4362966e4a36961f72877f5649a4aec9?sv=58faef82768cf807b4bfaa462a5cca2" TargetMode="External"/><Relationship Id="rId4" Type="http://schemas.openxmlformats.org/officeDocument/2006/relationships/footnotes" Target="footnotes.xml"/><Relationship Id="rId9" Type="http://schemas.openxmlformats.org/officeDocument/2006/relationships/hyperlink" Target="https://www.theage.com.au/national/victoria/the-harder-they-fall-nicola-gobbo-from-gangland-lawyer-to-family-outcast-20190301-p5113d.html" TargetMode="External"/><Relationship Id="rId14" Type="http://schemas.openxmlformats.org/officeDocument/2006/relationships/hyperlink" Target="https://aulich.com.au/lawyer-x-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Holzer</dc:creator>
  <cp:keywords/>
  <dc:description/>
  <cp:lastModifiedBy>Matthew Hawkins</cp:lastModifiedBy>
  <cp:revision>5</cp:revision>
  <dcterms:created xsi:type="dcterms:W3CDTF">2021-07-25T05:40:00Z</dcterms:created>
  <dcterms:modified xsi:type="dcterms:W3CDTF">2021-07-27T07:02:00Z</dcterms:modified>
</cp:coreProperties>
</file>