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7EFDBB" w14:textId="0AE1F34D" w:rsidR="00640314" w:rsidRPr="00285600" w:rsidRDefault="00854447" w:rsidP="0090758E">
      <w:pPr>
        <w:pStyle w:val="Heading1"/>
        <w:spacing w:before="120"/>
      </w:pPr>
      <w:bookmarkStart w:id="0" w:name="_Toc520796961"/>
      <w:r w:rsidRPr="00681892">
        <w:rPr>
          <w:noProof/>
          <w:lang w:eastAsia="en-AU"/>
        </w:rPr>
        <w:drawing>
          <wp:anchor distT="0" distB="0" distL="114300" distR="114300" simplePos="0" relativeHeight="251661312" behindDoc="1" locked="0" layoutInCell="1" allowOverlap="1" wp14:anchorId="30FC9A71" wp14:editId="65BDB844">
            <wp:simplePos x="0" y="0"/>
            <wp:positionH relativeFrom="page">
              <wp:align>right</wp:align>
            </wp:positionH>
            <wp:positionV relativeFrom="page">
              <wp:align>bottom</wp:align>
            </wp:positionV>
            <wp:extent cx="1900800" cy="1054800"/>
            <wp:effectExtent l="0" t="0" r="4445" b="0"/>
            <wp:wrapNone/>
            <wp:docPr id="10" name="Picture 10" descr="Government of South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CE Board_Identity2_Letterhead_Foote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00800" cy="1054800"/>
                    </a:xfrm>
                    <a:prstGeom prst="rect">
                      <a:avLst/>
                    </a:prstGeom>
                  </pic:spPr>
                </pic:pic>
              </a:graphicData>
            </a:graphic>
            <wp14:sizeRelH relativeFrom="page">
              <wp14:pctWidth>0</wp14:pctWidth>
            </wp14:sizeRelH>
            <wp14:sizeRelV relativeFrom="page">
              <wp14:pctHeight>0</wp14:pctHeight>
            </wp14:sizeRelV>
          </wp:anchor>
        </w:drawing>
      </w:r>
      <w:r w:rsidR="003D1294" w:rsidRPr="00640314">
        <w:rPr>
          <w:noProof/>
          <w:lang w:eastAsia="en-AU"/>
        </w:rPr>
        <w:drawing>
          <wp:anchor distT="0" distB="0" distL="114300" distR="114300" simplePos="0" relativeHeight="251659264" behindDoc="1" locked="0" layoutInCell="1" allowOverlap="1" wp14:anchorId="3A52F307" wp14:editId="1B4223B8">
            <wp:simplePos x="0" y="0"/>
            <wp:positionH relativeFrom="page">
              <wp:align>left</wp:align>
            </wp:positionH>
            <wp:positionV relativeFrom="page">
              <wp:align>top</wp:align>
            </wp:positionV>
            <wp:extent cx="7538400" cy="1432800"/>
            <wp:effectExtent l="0" t="0" r="5715" b="0"/>
            <wp:wrapTight wrapText="bothSides">
              <wp:wrapPolygon edited="0">
                <wp:start x="0" y="0"/>
                <wp:lineTo x="0" y="21255"/>
                <wp:lineTo x="21562" y="21255"/>
                <wp:lineTo x="21562" y="0"/>
                <wp:lineTo x="0" y="0"/>
              </wp:wrapPolygon>
            </wp:wrapTight>
            <wp:docPr id="2" name="Picture 2" descr="SACE Boar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CE Board Logo_Indentity2_Letterhead_Heade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38400" cy="1432800"/>
                    </a:xfrm>
                    <a:prstGeom prst="rect">
                      <a:avLst/>
                    </a:prstGeom>
                  </pic:spPr>
                </pic:pic>
              </a:graphicData>
            </a:graphic>
            <wp14:sizeRelH relativeFrom="page">
              <wp14:pctWidth>0</wp14:pctWidth>
            </wp14:sizeRelH>
            <wp14:sizeRelV relativeFrom="page">
              <wp14:pctHeight>0</wp14:pctHeight>
            </wp14:sizeRelV>
          </wp:anchor>
        </w:drawing>
      </w:r>
      <w:r w:rsidR="00B30663">
        <w:t>2</w:t>
      </w:r>
      <w:bookmarkEnd w:id="0"/>
      <w:r w:rsidR="00B30663">
        <w:t>02</w:t>
      </w:r>
      <w:r w:rsidR="00CC0708">
        <w:t>5</w:t>
      </w:r>
      <w:r w:rsidR="00B30663">
        <w:t xml:space="preserve"> </w:t>
      </w:r>
      <w:r w:rsidR="006C497A">
        <w:t>Mathematical Methods</w:t>
      </w:r>
      <w:r w:rsidR="00B30663">
        <w:t xml:space="preserve"> Subject Assessment Advice</w:t>
      </w:r>
    </w:p>
    <w:p w14:paraId="012CC6ED" w14:textId="77777777" w:rsidR="00B30663" w:rsidRPr="00661C3B" w:rsidRDefault="00B30663" w:rsidP="00B30663">
      <w:pPr>
        <w:pStyle w:val="Heading2NoNumber"/>
        <w:rPr>
          <w:color w:val="auto"/>
        </w:rPr>
      </w:pPr>
      <w:r w:rsidRPr="00661C3B">
        <w:rPr>
          <w:color w:val="auto"/>
        </w:rPr>
        <w:t>Overview</w:t>
      </w:r>
    </w:p>
    <w:p w14:paraId="5790300C" w14:textId="1C710BF2" w:rsidR="00B30663" w:rsidRPr="00661C3B" w:rsidRDefault="00CC0708" w:rsidP="00B30663">
      <w:pPr>
        <w:rPr>
          <w:color w:val="auto"/>
        </w:rPr>
      </w:pPr>
      <w:r w:rsidRPr="00661C3B">
        <w:rPr>
          <w:color w:val="auto"/>
        </w:rPr>
        <w:t>This s</w:t>
      </w:r>
      <w:r w:rsidR="00B30663" w:rsidRPr="00661C3B">
        <w:rPr>
          <w:color w:val="auto"/>
        </w:rPr>
        <w:t>ubject assessment advice, based on the 202</w:t>
      </w:r>
      <w:r w:rsidRPr="00661C3B">
        <w:rPr>
          <w:color w:val="auto"/>
        </w:rPr>
        <w:t>5</w:t>
      </w:r>
      <w:r w:rsidR="00B30663" w:rsidRPr="00661C3B">
        <w:rPr>
          <w:color w:val="auto"/>
        </w:rPr>
        <w:t xml:space="preserve"> assessment cycle, gives an overview of how students performed in their school and external assessments in relation to the learning requirements, assessment design criteria, and performance standards set out in the relevant subject outline. </w:t>
      </w:r>
      <w:r w:rsidRPr="00661C3B">
        <w:rPr>
          <w:color w:val="auto"/>
        </w:rPr>
        <w:t>It</w:t>
      </w:r>
      <w:r w:rsidR="00B30663" w:rsidRPr="00661C3B">
        <w:rPr>
          <w:color w:val="auto"/>
        </w:rPr>
        <w:t xml:space="preserve"> provide</w:t>
      </w:r>
      <w:r w:rsidRPr="00661C3B">
        <w:rPr>
          <w:color w:val="auto"/>
        </w:rPr>
        <w:t>s</w:t>
      </w:r>
      <w:r w:rsidR="00B30663" w:rsidRPr="00661C3B">
        <w:rPr>
          <w:color w:val="auto"/>
        </w:rPr>
        <w:t xml:space="preserve"> information and advice regarding the assessment types, the application of the performance standards in school and external assessments, and the quality of student performance.</w:t>
      </w:r>
    </w:p>
    <w:p w14:paraId="5C070ADD" w14:textId="157CC4B5" w:rsidR="00CC0708" w:rsidRPr="00661C3B" w:rsidRDefault="00CC0708" w:rsidP="00CC0708">
      <w:pPr>
        <w:numPr>
          <w:ilvl w:val="0"/>
          <w:numId w:val="11"/>
        </w:numPr>
        <w:rPr>
          <w:rFonts w:eastAsia="Roboto Light" w:cs="Angsana New"/>
          <w:color w:val="auto"/>
        </w:rPr>
      </w:pPr>
      <w:r w:rsidRPr="00661C3B">
        <w:rPr>
          <w:rFonts w:eastAsia="Roboto Light" w:cs="Angsana New"/>
          <w:color w:val="auto"/>
        </w:rPr>
        <w:t xml:space="preserve">The Subject Renewal program has introduced changes for many subjects in 2025; these changes are detailed in the change log at the front of each subject outline. </w:t>
      </w:r>
    </w:p>
    <w:p w14:paraId="252F09ED" w14:textId="77777777" w:rsidR="00B30663" w:rsidRPr="00661C3B" w:rsidRDefault="00B30663" w:rsidP="00B30663">
      <w:pPr>
        <w:pStyle w:val="Heading1"/>
        <w:rPr>
          <w:color w:val="auto"/>
        </w:rPr>
      </w:pPr>
      <w:r w:rsidRPr="00661C3B">
        <w:rPr>
          <w:color w:val="auto"/>
        </w:rPr>
        <w:t>School Assessment</w:t>
      </w:r>
    </w:p>
    <w:p w14:paraId="1116B671" w14:textId="77777777" w:rsidR="00B30663" w:rsidRPr="00661C3B" w:rsidRDefault="00B30663" w:rsidP="00B30663">
      <w:pPr>
        <w:pStyle w:val="ContentBold"/>
        <w:rPr>
          <w:color w:val="auto"/>
        </w:rPr>
      </w:pPr>
      <w:r w:rsidRPr="00661C3B">
        <w:rPr>
          <w:color w:val="auto"/>
        </w:rPr>
        <w:t>Teachers can improve the moderation process and the online process by:</w:t>
      </w:r>
    </w:p>
    <w:p w14:paraId="427A62F3" w14:textId="6623B7EC" w:rsidR="006C497A" w:rsidRPr="00661C3B" w:rsidRDefault="006C497A" w:rsidP="006C497A">
      <w:pPr>
        <w:pStyle w:val="SAABullets"/>
        <w:rPr>
          <w:color w:val="auto"/>
        </w:rPr>
      </w:pPr>
      <w:r w:rsidRPr="00661C3B">
        <w:rPr>
          <w:color w:val="auto"/>
        </w:rPr>
        <w:t xml:space="preserve">thoroughly checking that all grades entered in </w:t>
      </w:r>
      <w:r w:rsidR="008F09F3" w:rsidRPr="00661C3B">
        <w:rPr>
          <w:color w:val="auto"/>
        </w:rPr>
        <w:t>S</w:t>
      </w:r>
      <w:r w:rsidRPr="00661C3B">
        <w:rPr>
          <w:color w:val="auto"/>
        </w:rPr>
        <w:t xml:space="preserve">chools </w:t>
      </w:r>
      <w:r w:rsidR="008F09F3" w:rsidRPr="00661C3B">
        <w:rPr>
          <w:color w:val="auto"/>
        </w:rPr>
        <w:t>O</w:t>
      </w:r>
      <w:r w:rsidRPr="00661C3B">
        <w:rPr>
          <w:color w:val="auto"/>
        </w:rPr>
        <w:t>nline are correct</w:t>
      </w:r>
    </w:p>
    <w:p w14:paraId="6C32E708" w14:textId="2F3B5D54" w:rsidR="006C497A" w:rsidRPr="00661C3B" w:rsidRDefault="006C497A" w:rsidP="006C497A">
      <w:pPr>
        <w:pStyle w:val="SAABullets"/>
        <w:rPr>
          <w:color w:val="auto"/>
        </w:rPr>
      </w:pPr>
      <w:r w:rsidRPr="00661C3B">
        <w:rPr>
          <w:color w:val="auto"/>
        </w:rPr>
        <w:t>completing performance standards records (PSRs) consistently for all relevant performance standards for all students in the moderation sample. If a performance standard is present in the learning and assessment plan (LAP), it must be indicated in the PSR unless it is removed for all students with rationale provided in the Addendum section of the LAP</w:t>
      </w:r>
    </w:p>
    <w:p w14:paraId="77D6072D" w14:textId="77777777" w:rsidR="006C497A" w:rsidRPr="00661C3B" w:rsidRDefault="006C497A" w:rsidP="006C497A">
      <w:pPr>
        <w:pStyle w:val="SAABullets"/>
        <w:rPr>
          <w:color w:val="auto"/>
        </w:rPr>
      </w:pPr>
      <w:r w:rsidRPr="00661C3B">
        <w:rPr>
          <w:color w:val="auto"/>
        </w:rPr>
        <w:t>ensuring the uploaded files are a reasonable scan quality, the work has the correct orientation, and blank pages and student notes have been removed</w:t>
      </w:r>
    </w:p>
    <w:p w14:paraId="68DE517D" w14:textId="77777777" w:rsidR="006C497A" w:rsidRPr="00661C3B" w:rsidRDefault="006C497A" w:rsidP="006C497A">
      <w:pPr>
        <w:pStyle w:val="SAABullets"/>
        <w:rPr>
          <w:color w:val="auto"/>
        </w:rPr>
      </w:pPr>
      <w:r w:rsidRPr="00661C3B">
        <w:rPr>
          <w:color w:val="auto"/>
        </w:rPr>
        <w:t>uploading all skills and application tasks (SATs) as a single scanned file for ease of moderation</w:t>
      </w:r>
    </w:p>
    <w:p w14:paraId="33E92A43" w14:textId="77777777" w:rsidR="006C497A" w:rsidRPr="00661C3B" w:rsidRDefault="006C497A" w:rsidP="006C497A">
      <w:pPr>
        <w:pStyle w:val="SAABullets"/>
        <w:rPr>
          <w:color w:val="auto"/>
        </w:rPr>
      </w:pPr>
      <w:r w:rsidRPr="00661C3B">
        <w:rPr>
          <w:color w:val="auto"/>
        </w:rPr>
        <w:t>preferably providing a summary of student results in each of the SATs on the first page of the uploaded SATs file</w:t>
      </w:r>
    </w:p>
    <w:p w14:paraId="13071DDD" w14:textId="68BE4BC8" w:rsidR="006C497A" w:rsidRPr="00661C3B" w:rsidRDefault="006C497A" w:rsidP="006C497A">
      <w:pPr>
        <w:pStyle w:val="SAABullets"/>
        <w:rPr>
          <w:color w:val="auto"/>
        </w:rPr>
      </w:pPr>
      <w:r w:rsidRPr="00661C3B">
        <w:rPr>
          <w:color w:val="auto"/>
        </w:rPr>
        <w:t xml:space="preserve">filling in the variation form if a student did not complete one or more tasks </w:t>
      </w:r>
    </w:p>
    <w:p w14:paraId="131172BE" w14:textId="77777777" w:rsidR="006C497A" w:rsidRPr="00661C3B" w:rsidRDefault="006C497A" w:rsidP="006C497A">
      <w:pPr>
        <w:pStyle w:val="SAABullets"/>
        <w:rPr>
          <w:color w:val="auto"/>
        </w:rPr>
      </w:pPr>
      <w:r w:rsidRPr="00661C3B">
        <w:rPr>
          <w:color w:val="auto"/>
        </w:rPr>
        <w:t>providing clearly marked student work showing which mathematical calculations are fully or partially correct and which are incorrect as a requirement of moderation. Showing marks and totals for SATs is also helpful</w:t>
      </w:r>
    </w:p>
    <w:p w14:paraId="5571A5E7" w14:textId="26E5322A" w:rsidR="00BA7F6F" w:rsidRDefault="006C497A" w:rsidP="007B42E8">
      <w:pPr>
        <w:pStyle w:val="SAABullets"/>
        <w:rPr>
          <w:color w:val="auto"/>
        </w:rPr>
      </w:pPr>
      <w:r w:rsidRPr="00911670">
        <w:rPr>
          <w:color w:val="auto"/>
        </w:rPr>
        <w:t xml:space="preserve">ensuring the application of the subject adjustments in removing a skills and applications task is restricted to the entire class having the same task removed </w:t>
      </w:r>
      <w:r w:rsidR="00911670" w:rsidRPr="00911670">
        <w:rPr>
          <w:color w:val="auto"/>
        </w:rPr>
        <w:t>(i.e., the same task removed for all students); it must not be applied student-by-student</w:t>
      </w:r>
    </w:p>
    <w:p w14:paraId="7CF823FD" w14:textId="1EF91A46" w:rsidR="006C497A" w:rsidRPr="00911670" w:rsidRDefault="006C497A" w:rsidP="007B42E8">
      <w:pPr>
        <w:pStyle w:val="SAABullets"/>
        <w:rPr>
          <w:color w:val="auto"/>
        </w:rPr>
      </w:pPr>
      <w:r w:rsidRPr="00911670">
        <w:rPr>
          <w:color w:val="auto"/>
        </w:rPr>
        <w:t>updating their learning and assessment plan (LAP) to ensure consistency with subject outline changes that were made in 2025</w:t>
      </w:r>
    </w:p>
    <w:p w14:paraId="56899A4B" w14:textId="472888B4" w:rsidR="006C497A" w:rsidRPr="00661C3B" w:rsidRDefault="006C497A" w:rsidP="006C497A">
      <w:pPr>
        <w:pStyle w:val="SAABullets"/>
        <w:rPr>
          <w:color w:val="auto"/>
        </w:rPr>
      </w:pPr>
      <w:r w:rsidRPr="00661C3B">
        <w:rPr>
          <w:color w:val="auto"/>
        </w:rPr>
        <w:t xml:space="preserve">marking AT2 </w:t>
      </w:r>
      <w:r w:rsidR="00BB0F09">
        <w:rPr>
          <w:color w:val="auto"/>
        </w:rPr>
        <w:t>mathematical investigations</w:t>
      </w:r>
      <w:r w:rsidRPr="00661C3B">
        <w:rPr>
          <w:color w:val="auto"/>
        </w:rPr>
        <w:t xml:space="preserve"> thoroughly, with an indication of where mathematics is correct and incorrect, as well as an indication of where key performance standard achievement is being assessed</w:t>
      </w:r>
    </w:p>
    <w:p w14:paraId="77F112F9" w14:textId="742DC339" w:rsidR="00BA7F6F" w:rsidRDefault="006C497A" w:rsidP="006C497A">
      <w:pPr>
        <w:pStyle w:val="SAABullets"/>
        <w:rPr>
          <w:color w:val="auto"/>
        </w:rPr>
      </w:pPr>
      <w:r w:rsidRPr="00661C3B">
        <w:rPr>
          <w:color w:val="auto"/>
        </w:rPr>
        <w:t>completing the PLATO calibration for the subject each year prior to making assessment decisions to ensure consistent and appropriate application of the performance standards that can be confirmed in moderation</w:t>
      </w:r>
      <w:r w:rsidR="007A332A" w:rsidRPr="00661C3B">
        <w:rPr>
          <w:color w:val="auto"/>
        </w:rPr>
        <w:t>.</w:t>
      </w:r>
    </w:p>
    <w:p w14:paraId="1AA76030" w14:textId="77777777" w:rsidR="00BA7F6F" w:rsidRDefault="00BA7F6F">
      <w:pPr>
        <w:rPr>
          <w:color w:val="auto"/>
        </w:rPr>
      </w:pPr>
      <w:r>
        <w:rPr>
          <w:color w:val="auto"/>
        </w:rPr>
        <w:br w:type="page"/>
      </w:r>
    </w:p>
    <w:p w14:paraId="5A086148" w14:textId="78F83AAB" w:rsidR="00B30663" w:rsidRPr="00661C3B" w:rsidRDefault="00B30663" w:rsidP="00B30663">
      <w:pPr>
        <w:pStyle w:val="Heading2NoNumber"/>
        <w:rPr>
          <w:color w:val="auto"/>
        </w:rPr>
      </w:pPr>
      <w:r w:rsidRPr="00661C3B">
        <w:rPr>
          <w:color w:val="auto"/>
        </w:rPr>
        <w:lastRenderedPageBreak/>
        <w:t xml:space="preserve">Assessment Type 1: </w:t>
      </w:r>
      <w:r w:rsidR="006C497A" w:rsidRPr="00661C3B">
        <w:rPr>
          <w:color w:val="auto"/>
        </w:rPr>
        <w:t>Skills and Applications Tasks (50%)</w:t>
      </w:r>
    </w:p>
    <w:p w14:paraId="0CE07042" w14:textId="11E3E015" w:rsidR="006C497A" w:rsidRPr="00661C3B" w:rsidRDefault="006C497A" w:rsidP="006C497A">
      <w:pPr>
        <w:pStyle w:val="SAAbodytext"/>
      </w:pPr>
      <w:r w:rsidRPr="00661C3B">
        <w:t xml:space="preserve">Students complete five or six skills and application tasks under the direct supervision of the teacher. </w:t>
      </w:r>
    </w:p>
    <w:p w14:paraId="193F5910" w14:textId="77777777" w:rsidR="006C497A" w:rsidRPr="00661C3B" w:rsidRDefault="006C497A" w:rsidP="006C497A">
      <w:pPr>
        <w:pStyle w:val="SAAbodytext"/>
      </w:pPr>
      <w:r w:rsidRPr="00661C3B">
        <w:t>In 2025, the requirement for the equivalent of one task to be undertaken without the use of either a calculator or notes has been removed. Students provide evidence of their learning in relation to the following assessment design criteria:</w:t>
      </w:r>
    </w:p>
    <w:p w14:paraId="2E48806C" w14:textId="77777777" w:rsidR="006C497A" w:rsidRPr="00661C3B" w:rsidRDefault="006C497A" w:rsidP="006C497A">
      <w:pPr>
        <w:pStyle w:val="SAABullets"/>
        <w:rPr>
          <w:color w:val="auto"/>
        </w:rPr>
      </w:pPr>
      <w:r w:rsidRPr="00661C3B">
        <w:rPr>
          <w:color w:val="auto"/>
        </w:rPr>
        <w:t>concepts and techniques</w:t>
      </w:r>
    </w:p>
    <w:p w14:paraId="2E737F42" w14:textId="77777777" w:rsidR="006C497A" w:rsidRPr="00661C3B" w:rsidRDefault="006C497A" w:rsidP="006C497A">
      <w:pPr>
        <w:pStyle w:val="SAABullets"/>
        <w:rPr>
          <w:color w:val="auto"/>
        </w:rPr>
      </w:pPr>
      <w:r w:rsidRPr="00661C3B">
        <w:rPr>
          <w:color w:val="auto"/>
        </w:rPr>
        <w:t>reasoning and communication.</w:t>
      </w:r>
    </w:p>
    <w:p w14:paraId="4D6EF802" w14:textId="77777777" w:rsidR="00B30663" w:rsidRPr="00661C3B" w:rsidRDefault="00B30663" w:rsidP="00B30663">
      <w:pPr>
        <w:rPr>
          <w:i/>
          <w:color w:val="auto"/>
        </w:rPr>
      </w:pPr>
      <w:r w:rsidRPr="00661C3B">
        <w:rPr>
          <w:color w:val="auto"/>
        </w:rPr>
        <w:t>Teachers can elicit more successful responses by:</w:t>
      </w:r>
    </w:p>
    <w:p w14:paraId="5BE13EE0" w14:textId="77777777" w:rsidR="006C497A" w:rsidRPr="00661C3B" w:rsidRDefault="006C497A" w:rsidP="006C497A">
      <w:pPr>
        <w:pStyle w:val="SAABullets"/>
        <w:rPr>
          <w:color w:val="auto"/>
        </w:rPr>
      </w:pPr>
      <w:r w:rsidRPr="00661C3B">
        <w:rPr>
          <w:color w:val="auto"/>
        </w:rPr>
        <w:t>using varied assessment questions that provide a mix of routine and complex problems to assess a range of skills and understanding</w:t>
      </w:r>
    </w:p>
    <w:p w14:paraId="5AB57CA1" w14:textId="77777777" w:rsidR="00193250" w:rsidRDefault="006C497A" w:rsidP="00193250">
      <w:pPr>
        <w:pStyle w:val="SAABullet"/>
      </w:pPr>
      <w:r w:rsidRPr="00661C3B">
        <w:t>avoiding the use of questions from past examinations and textbooks, as these provide limited opportunities for authentic student engagement</w:t>
      </w:r>
      <w:r w:rsidR="00193250">
        <w:t>:</w:t>
      </w:r>
    </w:p>
    <w:p w14:paraId="13A0EC8C" w14:textId="4BCB28BA" w:rsidR="006C497A" w:rsidRPr="00661C3B" w:rsidRDefault="00193250" w:rsidP="00193250">
      <w:pPr>
        <w:pStyle w:val="SAABullet"/>
        <w:numPr>
          <w:ilvl w:val="0"/>
          <w:numId w:val="58"/>
        </w:numPr>
      </w:pPr>
      <w:r>
        <w:t>T</w:t>
      </w:r>
      <w:r w:rsidR="006C497A" w:rsidRPr="00661C3B">
        <w:t>here continues to be evidence of teachers using questions directly from past examinations and textbooks without altering them. This is not an acceptable practice given that students have access to these questions and solutions prior to the assessment</w:t>
      </w:r>
      <w:r>
        <w:t>.</w:t>
      </w:r>
    </w:p>
    <w:p w14:paraId="1F9F6B89" w14:textId="77777777" w:rsidR="006C497A" w:rsidRPr="00661C3B" w:rsidRDefault="006C497A" w:rsidP="006C497A">
      <w:pPr>
        <w:pStyle w:val="SAABullets"/>
        <w:rPr>
          <w:color w:val="auto"/>
        </w:rPr>
      </w:pPr>
      <w:r w:rsidRPr="00661C3B">
        <w:rPr>
          <w:color w:val="auto"/>
        </w:rPr>
        <w:t xml:space="preserve">providing </w:t>
      </w:r>
      <w:r w:rsidRPr="00661C3B">
        <w:rPr>
          <w:i/>
          <w:iCs/>
          <w:color w:val="auto"/>
        </w:rPr>
        <w:t>multiple</w:t>
      </w:r>
      <w:r w:rsidRPr="00661C3B">
        <w:rPr>
          <w:color w:val="auto"/>
        </w:rPr>
        <w:t xml:space="preserve"> opportunities for:</w:t>
      </w:r>
    </w:p>
    <w:p w14:paraId="41ED34D8" w14:textId="77777777" w:rsidR="006C497A" w:rsidRPr="00661C3B" w:rsidRDefault="006C497A" w:rsidP="006C497A">
      <w:pPr>
        <w:pStyle w:val="SAABullets2"/>
        <w:rPr>
          <w:color w:val="auto"/>
        </w:rPr>
      </w:pPr>
      <w:r w:rsidRPr="00661C3B">
        <w:rPr>
          <w:color w:val="auto"/>
        </w:rPr>
        <w:t>contextual interpretation of results</w:t>
      </w:r>
    </w:p>
    <w:p w14:paraId="441126A6" w14:textId="77777777" w:rsidR="006C497A" w:rsidRPr="00661C3B" w:rsidRDefault="006C497A" w:rsidP="006C497A">
      <w:pPr>
        <w:pStyle w:val="ListBullet2"/>
        <w:numPr>
          <w:ilvl w:val="1"/>
          <w:numId w:val="49"/>
        </w:numPr>
        <w:rPr>
          <w:color w:val="auto"/>
        </w:rPr>
      </w:pPr>
      <w:r w:rsidRPr="00661C3B">
        <w:rPr>
          <w:color w:val="auto"/>
        </w:rPr>
        <w:t>assessment of the reasonableness of results</w:t>
      </w:r>
    </w:p>
    <w:p w14:paraId="61048286" w14:textId="551088FF" w:rsidR="006C497A" w:rsidRPr="00661C3B" w:rsidRDefault="006C497A" w:rsidP="006C497A">
      <w:pPr>
        <w:pStyle w:val="ListBullet2"/>
        <w:numPr>
          <w:ilvl w:val="1"/>
          <w:numId w:val="49"/>
        </w:numPr>
        <w:rPr>
          <w:color w:val="auto"/>
        </w:rPr>
      </w:pPr>
      <w:r w:rsidRPr="00661C3B">
        <w:rPr>
          <w:color w:val="auto"/>
        </w:rPr>
        <w:t>demonstration of conjecture development and proof</w:t>
      </w:r>
      <w:r w:rsidR="00661C3B" w:rsidRPr="00661C3B">
        <w:rPr>
          <w:color w:val="auto"/>
        </w:rPr>
        <w:t>.</w:t>
      </w:r>
    </w:p>
    <w:p w14:paraId="05102ED1" w14:textId="77777777" w:rsidR="006C497A" w:rsidRPr="00661C3B" w:rsidRDefault="006C497A" w:rsidP="006C497A">
      <w:pPr>
        <w:pStyle w:val="SAABullets"/>
        <w:rPr>
          <w:color w:val="auto"/>
        </w:rPr>
      </w:pPr>
      <w:r w:rsidRPr="00661C3B">
        <w:rPr>
          <w:color w:val="auto"/>
        </w:rPr>
        <w:t>using appropriate verbs, such as state, explain, and interpret to guide students to form an appropriate response</w:t>
      </w:r>
    </w:p>
    <w:p w14:paraId="58E0BD20" w14:textId="766470D4" w:rsidR="006C497A" w:rsidRPr="00661C3B" w:rsidRDefault="006C497A" w:rsidP="006C497A">
      <w:pPr>
        <w:pStyle w:val="SAABullets"/>
        <w:rPr>
          <w:color w:val="auto"/>
        </w:rPr>
      </w:pPr>
      <w:r w:rsidRPr="00661C3B">
        <w:rPr>
          <w:color w:val="auto"/>
        </w:rPr>
        <w:t>providing students with axes and grids when asking them to sketch graphs</w:t>
      </w:r>
    </w:p>
    <w:p w14:paraId="40C44D1E" w14:textId="4CA105D1" w:rsidR="006C497A" w:rsidRPr="00661C3B" w:rsidRDefault="006C497A" w:rsidP="006C497A">
      <w:pPr>
        <w:pStyle w:val="SAABullets"/>
        <w:rPr>
          <w:color w:val="auto"/>
        </w:rPr>
      </w:pPr>
      <w:r w:rsidRPr="00661C3B">
        <w:rPr>
          <w:color w:val="auto"/>
        </w:rPr>
        <w:t>ensuring that content aligns with the Stage 2 Subject Outline. There has been an increased prevalence of Stage 1 and earlier content being assessed in Stage 2 assessments, which is inappropriate</w:t>
      </w:r>
    </w:p>
    <w:p w14:paraId="45CF3F3B" w14:textId="5868F14D" w:rsidR="006C497A" w:rsidRPr="00661C3B" w:rsidRDefault="006C497A" w:rsidP="006C497A">
      <w:pPr>
        <w:pStyle w:val="SAABullets"/>
        <w:rPr>
          <w:color w:val="auto"/>
        </w:rPr>
      </w:pPr>
      <w:r w:rsidRPr="00661C3B">
        <w:rPr>
          <w:color w:val="auto"/>
        </w:rPr>
        <w:t xml:space="preserve">providing students with the opportunity to both make a conjecture </w:t>
      </w:r>
      <w:r w:rsidRPr="00661C3B">
        <w:rPr>
          <w:i/>
          <w:iCs/>
          <w:color w:val="auto"/>
        </w:rPr>
        <w:t>and</w:t>
      </w:r>
      <w:r w:rsidRPr="00661C3B">
        <w:rPr>
          <w:color w:val="auto"/>
        </w:rPr>
        <w:t xml:space="preserve"> prove it. Some tasks have been found only to provide one of these opportunities. For example, students make a conjecture but are not asked to provide a proof. This severely limits their ability to demonstrate RC5</w:t>
      </w:r>
    </w:p>
    <w:p w14:paraId="3AB99147" w14:textId="77777777" w:rsidR="006C497A" w:rsidRPr="00661C3B" w:rsidRDefault="006C497A" w:rsidP="006C497A">
      <w:pPr>
        <w:pStyle w:val="SAABullets"/>
        <w:rPr>
          <w:color w:val="auto"/>
        </w:rPr>
      </w:pPr>
      <w:r w:rsidRPr="00661C3B">
        <w:rPr>
          <w:color w:val="auto"/>
        </w:rPr>
        <w:t>using mark schemes appropriate to the work required with clear alignment between marks awarded and skills demonstrated.</w:t>
      </w:r>
    </w:p>
    <w:p w14:paraId="77162E12" w14:textId="77777777" w:rsidR="00B30663" w:rsidRPr="00661C3B" w:rsidRDefault="00B30663" w:rsidP="00B30663">
      <w:pPr>
        <w:rPr>
          <w:i/>
          <w:color w:val="auto"/>
        </w:rPr>
      </w:pPr>
      <w:r w:rsidRPr="00661C3B">
        <w:rPr>
          <w:i/>
          <w:color w:val="auto"/>
        </w:rPr>
        <w:t>The more successful responses commonly:</w:t>
      </w:r>
    </w:p>
    <w:p w14:paraId="485290F7" w14:textId="77777777" w:rsidR="006C497A" w:rsidRPr="00661C3B" w:rsidRDefault="006C497A" w:rsidP="006C497A">
      <w:pPr>
        <w:pStyle w:val="SAABullets"/>
        <w:rPr>
          <w:color w:val="auto"/>
        </w:rPr>
      </w:pPr>
      <w:r w:rsidRPr="00661C3B">
        <w:rPr>
          <w:color w:val="auto"/>
        </w:rPr>
        <w:t>demonstrated clear understanding and logical steps in problem-solving</w:t>
      </w:r>
    </w:p>
    <w:p w14:paraId="22902661" w14:textId="77777777" w:rsidR="006C497A" w:rsidRPr="00661C3B" w:rsidRDefault="006C497A" w:rsidP="006C497A">
      <w:pPr>
        <w:pStyle w:val="SAABullets"/>
        <w:rPr>
          <w:color w:val="auto"/>
        </w:rPr>
      </w:pPr>
      <w:r w:rsidRPr="00661C3B">
        <w:rPr>
          <w:color w:val="auto"/>
        </w:rPr>
        <w:t>included appropriate working for ‘show’ type questions</w:t>
      </w:r>
    </w:p>
    <w:p w14:paraId="0F1D1821" w14:textId="77777777" w:rsidR="006C497A" w:rsidRPr="00661C3B" w:rsidRDefault="006C497A" w:rsidP="006C497A">
      <w:pPr>
        <w:pStyle w:val="SAABullets"/>
        <w:rPr>
          <w:color w:val="auto"/>
        </w:rPr>
      </w:pPr>
      <w:r w:rsidRPr="00661C3B">
        <w:rPr>
          <w:color w:val="auto"/>
        </w:rPr>
        <w:t xml:space="preserve">used technology appropriately, using the space allocated proportionately to the marks allocated </w:t>
      </w:r>
    </w:p>
    <w:p w14:paraId="6A336900" w14:textId="77777777" w:rsidR="006C497A" w:rsidRPr="00661C3B" w:rsidRDefault="006C497A" w:rsidP="006C497A">
      <w:pPr>
        <w:pStyle w:val="SAABullets"/>
        <w:rPr>
          <w:color w:val="auto"/>
        </w:rPr>
      </w:pPr>
      <w:r w:rsidRPr="00661C3B">
        <w:rPr>
          <w:color w:val="auto"/>
        </w:rPr>
        <w:t>responded well to questions that allowed for contextual interpretation and reasoning</w:t>
      </w:r>
    </w:p>
    <w:p w14:paraId="51501BFC" w14:textId="77777777" w:rsidR="006C497A" w:rsidRPr="00661C3B" w:rsidRDefault="006C497A" w:rsidP="006C497A">
      <w:pPr>
        <w:pStyle w:val="SAABullets"/>
        <w:rPr>
          <w:color w:val="auto"/>
        </w:rPr>
      </w:pPr>
      <w:r w:rsidRPr="00661C3B">
        <w:rPr>
          <w:color w:val="auto"/>
        </w:rPr>
        <w:t>followed the structure of questions that provided scaffolding towards complex mathematical reasoning, leveraging results of earlier parts of questions to answer subsequent parts.</w:t>
      </w:r>
    </w:p>
    <w:p w14:paraId="69036CC7" w14:textId="77777777" w:rsidR="00B30663" w:rsidRPr="00661C3B" w:rsidRDefault="00B30663" w:rsidP="00B30663">
      <w:pPr>
        <w:rPr>
          <w:i/>
          <w:color w:val="auto"/>
        </w:rPr>
      </w:pPr>
      <w:r w:rsidRPr="00661C3B">
        <w:rPr>
          <w:i/>
          <w:color w:val="auto"/>
        </w:rPr>
        <w:t>The less successful responses commonly:</w:t>
      </w:r>
    </w:p>
    <w:p w14:paraId="4713DB48" w14:textId="77777777" w:rsidR="006C497A" w:rsidRPr="00661C3B" w:rsidRDefault="006C497A" w:rsidP="006C497A">
      <w:pPr>
        <w:pStyle w:val="SAABullets"/>
        <w:rPr>
          <w:color w:val="auto"/>
        </w:rPr>
      </w:pPr>
      <w:r w:rsidRPr="00661C3B">
        <w:rPr>
          <w:color w:val="auto"/>
        </w:rPr>
        <w:t>showed a reliance on routine processes without deeper contextual understanding</w:t>
      </w:r>
    </w:p>
    <w:p w14:paraId="5FD02E59" w14:textId="77777777" w:rsidR="006C497A" w:rsidRPr="00661C3B" w:rsidRDefault="006C497A" w:rsidP="006C497A">
      <w:pPr>
        <w:pStyle w:val="SAABullets"/>
        <w:rPr>
          <w:color w:val="auto"/>
        </w:rPr>
      </w:pPr>
      <w:r w:rsidRPr="00661C3B">
        <w:rPr>
          <w:color w:val="auto"/>
        </w:rPr>
        <w:t>left questions blank, indicating a lack of familiarity with foundational concepts</w:t>
      </w:r>
    </w:p>
    <w:p w14:paraId="508EFA53" w14:textId="77777777" w:rsidR="006C497A" w:rsidRPr="00661C3B" w:rsidRDefault="006C497A" w:rsidP="006C497A">
      <w:pPr>
        <w:pStyle w:val="SAABullets"/>
        <w:rPr>
          <w:color w:val="auto"/>
        </w:rPr>
      </w:pPr>
      <w:r w:rsidRPr="00661C3B">
        <w:rPr>
          <w:color w:val="auto"/>
        </w:rPr>
        <w:t>failed to annotate or label graphs properly, leading to contextual misunderstandings</w:t>
      </w:r>
    </w:p>
    <w:p w14:paraId="182634DF" w14:textId="77777777" w:rsidR="006C497A" w:rsidRPr="00661C3B" w:rsidRDefault="006C497A" w:rsidP="006C497A">
      <w:pPr>
        <w:pStyle w:val="SAABullets"/>
        <w:rPr>
          <w:color w:val="auto"/>
        </w:rPr>
      </w:pPr>
      <w:r w:rsidRPr="00661C3B">
        <w:rPr>
          <w:color w:val="auto"/>
        </w:rPr>
        <w:t>provided a decimal approximation instead of presenting the exact solution as requested</w:t>
      </w:r>
    </w:p>
    <w:p w14:paraId="0CC70603" w14:textId="77777777" w:rsidR="006C497A" w:rsidRPr="00661C3B" w:rsidRDefault="006C497A" w:rsidP="006C497A">
      <w:pPr>
        <w:pStyle w:val="SAABullets"/>
        <w:rPr>
          <w:color w:val="auto"/>
        </w:rPr>
      </w:pPr>
      <w:r w:rsidRPr="00661C3B">
        <w:rPr>
          <w:color w:val="auto"/>
        </w:rPr>
        <w:t>did not effectively use technology when appropriate and instead applied algebraic techniques.</w:t>
      </w:r>
    </w:p>
    <w:p w14:paraId="6162BC14" w14:textId="53ADA6C9" w:rsidR="00B30663" w:rsidRPr="00661C3B" w:rsidRDefault="00B30663" w:rsidP="00B30663">
      <w:pPr>
        <w:pStyle w:val="Heading2NoNumber"/>
        <w:rPr>
          <w:color w:val="auto"/>
        </w:rPr>
      </w:pPr>
      <w:r w:rsidRPr="00661C3B">
        <w:rPr>
          <w:color w:val="auto"/>
        </w:rPr>
        <w:lastRenderedPageBreak/>
        <w:t xml:space="preserve">Assessment Type 2: </w:t>
      </w:r>
      <w:r w:rsidR="006C497A" w:rsidRPr="00661C3B">
        <w:rPr>
          <w:color w:val="auto"/>
        </w:rPr>
        <w:t>Mathematical Investigation (20%)</w:t>
      </w:r>
    </w:p>
    <w:p w14:paraId="7FCDC489" w14:textId="77777777" w:rsidR="004D2E47" w:rsidRDefault="006C497A" w:rsidP="006C497A">
      <w:pPr>
        <w:pStyle w:val="SAAbodytext"/>
      </w:pPr>
      <w:r w:rsidRPr="00661C3B">
        <w:t xml:space="preserve">Students complete one mathematical investigation with minimal teacher direction. The task must afford students the opportunity to extend the investigation in an open-ended context. The task should be written in a format that allows the student to conduct their own open-ended investigation. </w:t>
      </w:r>
    </w:p>
    <w:p w14:paraId="26DE7A9C" w14:textId="09CDBA8F" w:rsidR="004D2E47" w:rsidRPr="00661C3B" w:rsidRDefault="006C497A" w:rsidP="004D2E47">
      <w:pPr>
        <w:pStyle w:val="SAAbodytext"/>
      </w:pPr>
      <w:r w:rsidRPr="00661C3B">
        <w:t>It must be completed in report format (if written) and must be no longer than 15 single-sided A4 pages. Appendices should be used for repetitive calculations only.</w:t>
      </w:r>
      <w:r w:rsidR="004D2E47">
        <w:t xml:space="preserve"> However, i</w:t>
      </w:r>
      <w:r w:rsidR="004D2E47" w:rsidRPr="00661C3B">
        <w:t>n 2025, the mathematical investigation must be no longer than 12 single-sided A4 pages.</w:t>
      </w:r>
    </w:p>
    <w:p w14:paraId="68660E09" w14:textId="77777777" w:rsidR="006C497A" w:rsidRPr="00661C3B" w:rsidRDefault="006C497A" w:rsidP="006C497A">
      <w:pPr>
        <w:pStyle w:val="SAABullets"/>
        <w:numPr>
          <w:ilvl w:val="0"/>
          <w:numId w:val="0"/>
        </w:numPr>
        <w:rPr>
          <w:color w:val="auto"/>
        </w:rPr>
      </w:pPr>
      <w:r w:rsidRPr="00661C3B">
        <w:rPr>
          <w:color w:val="auto"/>
        </w:rPr>
        <w:t>Task design continues to be the leading cause of less successful student responses in AT2.</w:t>
      </w:r>
    </w:p>
    <w:p w14:paraId="2E355566" w14:textId="77777777" w:rsidR="006C497A" w:rsidRPr="00661C3B" w:rsidRDefault="006C497A" w:rsidP="006C497A">
      <w:pPr>
        <w:pStyle w:val="SAAbodytext"/>
      </w:pPr>
      <w:r w:rsidRPr="00661C3B">
        <w:t>Students provide evidence of their learning in relation to the following assessment design criteria:</w:t>
      </w:r>
    </w:p>
    <w:p w14:paraId="4F19F3A2" w14:textId="77777777" w:rsidR="006C497A" w:rsidRPr="00661C3B" w:rsidRDefault="006C497A" w:rsidP="006C497A">
      <w:pPr>
        <w:pStyle w:val="SAABullets"/>
        <w:rPr>
          <w:color w:val="auto"/>
        </w:rPr>
      </w:pPr>
      <w:r w:rsidRPr="00661C3B">
        <w:rPr>
          <w:color w:val="auto"/>
        </w:rPr>
        <w:t>concepts and techniques</w:t>
      </w:r>
    </w:p>
    <w:p w14:paraId="31A475EE" w14:textId="77777777" w:rsidR="006C497A" w:rsidRPr="00661C3B" w:rsidRDefault="006C497A" w:rsidP="006C497A">
      <w:pPr>
        <w:pStyle w:val="SAABullets"/>
        <w:rPr>
          <w:color w:val="auto"/>
        </w:rPr>
      </w:pPr>
      <w:r w:rsidRPr="00661C3B">
        <w:rPr>
          <w:color w:val="auto"/>
        </w:rPr>
        <w:t>reasoning and communication.</w:t>
      </w:r>
    </w:p>
    <w:p w14:paraId="6CFDA494" w14:textId="77777777" w:rsidR="00B30663" w:rsidRPr="00661C3B" w:rsidRDefault="00B30663" w:rsidP="00B30663">
      <w:pPr>
        <w:rPr>
          <w:i/>
          <w:color w:val="auto"/>
        </w:rPr>
      </w:pPr>
      <w:r w:rsidRPr="00661C3B">
        <w:rPr>
          <w:color w:val="auto"/>
        </w:rPr>
        <w:t>Teachers can elicit more successful responses by:</w:t>
      </w:r>
    </w:p>
    <w:p w14:paraId="4E99BEA2" w14:textId="77777777" w:rsidR="006C497A" w:rsidRPr="00661C3B" w:rsidRDefault="006C497A" w:rsidP="006C497A">
      <w:pPr>
        <w:pStyle w:val="SAABullets"/>
        <w:rPr>
          <w:color w:val="auto"/>
        </w:rPr>
      </w:pPr>
      <w:r w:rsidRPr="00661C3B">
        <w:rPr>
          <w:color w:val="auto"/>
        </w:rPr>
        <w:t>ensuring that student work does not exceed the 12-page limit by:</w:t>
      </w:r>
    </w:p>
    <w:p w14:paraId="7B331933" w14:textId="27E63436" w:rsidR="006C497A" w:rsidRPr="00661C3B" w:rsidRDefault="006C497A" w:rsidP="006C497A">
      <w:pPr>
        <w:pStyle w:val="SAABullets2"/>
        <w:rPr>
          <w:color w:val="auto"/>
        </w:rPr>
      </w:pPr>
      <w:r w:rsidRPr="00661C3B">
        <w:rPr>
          <w:color w:val="auto"/>
        </w:rPr>
        <w:t>designing tasks that provide students with adequate opportunities to demonstrate depth of understanding within the new 12-page limit for the investigation</w:t>
      </w:r>
    </w:p>
    <w:p w14:paraId="725ABD40" w14:textId="77777777" w:rsidR="006C497A" w:rsidRPr="00661C3B" w:rsidRDefault="006C497A" w:rsidP="006C497A">
      <w:pPr>
        <w:pStyle w:val="SAABullets2"/>
        <w:rPr>
          <w:color w:val="auto"/>
        </w:rPr>
      </w:pPr>
      <w:r w:rsidRPr="00661C3B">
        <w:rPr>
          <w:color w:val="auto"/>
        </w:rPr>
        <w:t>clearly indicating the new 12-page limit on task sheets and within the LAP.</w:t>
      </w:r>
    </w:p>
    <w:p w14:paraId="1E1B26AE" w14:textId="77777777" w:rsidR="006C497A" w:rsidRPr="00661C3B" w:rsidRDefault="006C497A" w:rsidP="006C497A">
      <w:pPr>
        <w:pStyle w:val="SAABullets"/>
        <w:rPr>
          <w:color w:val="auto"/>
        </w:rPr>
      </w:pPr>
      <w:r w:rsidRPr="00661C3B">
        <w:rPr>
          <w:color w:val="auto"/>
        </w:rPr>
        <w:t>providing clear entry points that demonstrate appropriate connections to real-world contexts, application of models to find solutions, and interpretation of results in the context of the problem</w:t>
      </w:r>
    </w:p>
    <w:p w14:paraId="12A7A061" w14:textId="77777777" w:rsidR="006C497A" w:rsidRPr="00661C3B" w:rsidRDefault="006C497A" w:rsidP="006C497A">
      <w:pPr>
        <w:pStyle w:val="SAABullets"/>
        <w:rPr>
          <w:color w:val="auto"/>
        </w:rPr>
      </w:pPr>
      <w:r w:rsidRPr="00661C3B">
        <w:rPr>
          <w:color w:val="auto"/>
        </w:rPr>
        <w:t>reducing over-scaffolding to allow students to explore and develop models in their own context</w:t>
      </w:r>
    </w:p>
    <w:p w14:paraId="43C0616F" w14:textId="1A12BBDD" w:rsidR="006C497A" w:rsidRPr="00661C3B" w:rsidRDefault="006C497A" w:rsidP="006C497A">
      <w:pPr>
        <w:pStyle w:val="SAABullets"/>
        <w:rPr>
          <w:color w:val="auto"/>
        </w:rPr>
      </w:pPr>
      <w:r w:rsidRPr="00661C3B">
        <w:rPr>
          <w:color w:val="auto"/>
        </w:rPr>
        <w:t>designing tasks that encourage students to link mathematical techniques to real-world contexts that will allow them to demonstrate meaningful application and interpretation of results</w:t>
      </w:r>
      <w:r w:rsidR="00193250">
        <w:rPr>
          <w:color w:val="auto"/>
        </w:rPr>
        <w:t>:</w:t>
      </w:r>
    </w:p>
    <w:p w14:paraId="4666C201" w14:textId="27B19AC2" w:rsidR="006C497A" w:rsidRPr="00661C3B" w:rsidRDefault="006C497A" w:rsidP="006C497A">
      <w:pPr>
        <w:pStyle w:val="SAABullets2"/>
        <w:rPr>
          <w:color w:val="auto"/>
        </w:rPr>
      </w:pPr>
      <w:r w:rsidRPr="00661C3B">
        <w:rPr>
          <w:color w:val="auto"/>
        </w:rPr>
        <w:t xml:space="preserve">Students continue to develop models without then applying them. </w:t>
      </w:r>
      <w:r w:rsidR="008F09F3" w:rsidRPr="00661C3B">
        <w:rPr>
          <w:color w:val="auto"/>
        </w:rPr>
        <w:t>To</w:t>
      </w:r>
      <w:r w:rsidRPr="00661C3B">
        <w:rPr>
          <w:color w:val="auto"/>
        </w:rPr>
        <w:t xml:space="preserve"> demonstrate achievement in </w:t>
      </w:r>
      <w:r w:rsidR="00B95CD0">
        <w:rPr>
          <w:color w:val="auto"/>
        </w:rPr>
        <w:t>CT3</w:t>
      </w:r>
      <w:r w:rsidRPr="00661C3B">
        <w:rPr>
          <w:color w:val="auto"/>
        </w:rPr>
        <w:t xml:space="preserve">, students must use models developed to </w:t>
      </w:r>
      <w:r w:rsidR="00BB0F09">
        <w:rPr>
          <w:color w:val="auto"/>
        </w:rPr>
        <w:t>‘</w:t>
      </w:r>
      <w:r w:rsidRPr="00661C3B">
        <w:rPr>
          <w:i/>
          <w:iCs/>
          <w:color w:val="auto"/>
        </w:rPr>
        <w:t xml:space="preserve">find </w:t>
      </w:r>
      <w:proofErr w:type="gramStart"/>
      <w:r w:rsidRPr="00661C3B">
        <w:rPr>
          <w:i/>
          <w:iCs/>
          <w:color w:val="auto"/>
        </w:rPr>
        <w:t>solutions</w:t>
      </w:r>
      <w:r w:rsidR="00BB0F09">
        <w:rPr>
          <w:i/>
          <w:iCs/>
          <w:color w:val="auto"/>
        </w:rPr>
        <w:t>’</w:t>
      </w:r>
      <w:proofErr w:type="gramEnd"/>
      <w:r w:rsidRPr="00661C3B">
        <w:rPr>
          <w:color w:val="auto"/>
        </w:rPr>
        <w:t>. This can take the form of calculating specific values, optimisation, rates of change, or any other mathematical calculations that use the model in an applied context. Furthermore, the lack of application results in limited opportunities for students to demonstrate RC1 and RC2 in this assessment type.</w:t>
      </w:r>
    </w:p>
    <w:p w14:paraId="6F2D82AB" w14:textId="77777777" w:rsidR="006C497A" w:rsidRPr="00661C3B" w:rsidRDefault="006C497A" w:rsidP="006C497A">
      <w:pPr>
        <w:pStyle w:val="SAABullets"/>
        <w:rPr>
          <w:color w:val="auto"/>
        </w:rPr>
      </w:pPr>
      <w:r w:rsidRPr="00661C3B">
        <w:rPr>
          <w:color w:val="auto"/>
        </w:rPr>
        <w:t>encouraging students to demonstrate clear reasoning processes in mathematical proofs and model development</w:t>
      </w:r>
    </w:p>
    <w:p w14:paraId="3FFABFF3" w14:textId="77777777" w:rsidR="006C497A" w:rsidRPr="00661C3B" w:rsidRDefault="006C497A" w:rsidP="006C497A">
      <w:pPr>
        <w:pStyle w:val="SAABullets"/>
        <w:rPr>
          <w:color w:val="auto"/>
        </w:rPr>
      </w:pPr>
      <w:r w:rsidRPr="00661C3B">
        <w:rPr>
          <w:color w:val="auto"/>
        </w:rPr>
        <w:t>providing opportunities for open-ended investigation that require students to demonstrate the refinement and evaluation of mathematical models</w:t>
      </w:r>
    </w:p>
    <w:p w14:paraId="11A2A16D" w14:textId="77777777" w:rsidR="006C497A" w:rsidRPr="00661C3B" w:rsidRDefault="006C497A" w:rsidP="006C497A">
      <w:pPr>
        <w:pStyle w:val="SAABullets"/>
        <w:rPr>
          <w:color w:val="auto"/>
        </w:rPr>
      </w:pPr>
      <w:r w:rsidRPr="00661C3B">
        <w:rPr>
          <w:color w:val="auto"/>
        </w:rPr>
        <w:t>encouraging students to justify choices made throughout their investigation, particularly in relation to parameter choices for mathematical models</w:t>
      </w:r>
    </w:p>
    <w:p w14:paraId="27178567" w14:textId="5C052AF6" w:rsidR="006C497A" w:rsidRPr="00661C3B" w:rsidRDefault="006C497A" w:rsidP="006C497A">
      <w:pPr>
        <w:pStyle w:val="SAABullets"/>
        <w:rPr>
          <w:color w:val="auto"/>
        </w:rPr>
      </w:pPr>
      <w:r w:rsidRPr="00661C3B">
        <w:rPr>
          <w:color w:val="auto"/>
        </w:rPr>
        <w:t>ensuring that students understand the performance standards that are being assessed in a task through task design, so that students can demonstrate these</w:t>
      </w:r>
      <w:r w:rsidR="005F182B">
        <w:rPr>
          <w:color w:val="auto"/>
        </w:rPr>
        <w:t>, p</w:t>
      </w:r>
      <w:r w:rsidRPr="00661C3B">
        <w:rPr>
          <w:color w:val="auto"/>
        </w:rPr>
        <w:t>articularly in commonly used tasks</w:t>
      </w:r>
      <w:r w:rsidR="005F182B">
        <w:rPr>
          <w:color w:val="auto"/>
        </w:rPr>
        <w:t>.</w:t>
      </w:r>
    </w:p>
    <w:p w14:paraId="4C6579BD" w14:textId="77777777" w:rsidR="006C497A" w:rsidRPr="00661C3B" w:rsidRDefault="006C497A" w:rsidP="006C497A">
      <w:pPr>
        <w:pStyle w:val="SAABullets2"/>
        <w:rPr>
          <w:color w:val="auto"/>
        </w:rPr>
      </w:pPr>
      <w:r w:rsidRPr="00661C3B">
        <w:rPr>
          <w:color w:val="auto"/>
        </w:rPr>
        <w:t>In the surge and logistic task provided online, less successful responses:</w:t>
      </w:r>
    </w:p>
    <w:p w14:paraId="6BFC1FC6" w14:textId="44D296F6" w:rsidR="006C497A" w:rsidRPr="00661C3B" w:rsidRDefault="006C497A" w:rsidP="00661C3B">
      <w:pPr>
        <w:pStyle w:val="SAABullet3"/>
        <w:rPr>
          <w:color w:val="auto"/>
        </w:rPr>
      </w:pPr>
      <w:r w:rsidRPr="00661C3B">
        <w:rPr>
          <w:color w:val="auto"/>
        </w:rPr>
        <w:t>used more than half of their page limit on the routine common components and thus showed minimal development of their own models in the open section of the task</w:t>
      </w:r>
    </w:p>
    <w:p w14:paraId="425BE026" w14:textId="5DF62505" w:rsidR="006C497A" w:rsidRPr="00661C3B" w:rsidRDefault="006C497A" w:rsidP="00661C3B">
      <w:pPr>
        <w:pStyle w:val="SAABullet3"/>
        <w:rPr>
          <w:color w:val="auto"/>
        </w:rPr>
      </w:pPr>
      <w:r w:rsidRPr="00661C3B">
        <w:rPr>
          <w:color w:val="auto"/>
        </w:rPr>
        <w:t>made conjectures that were not clearly aligned with the evidence collected when observing the behaviour for specific parameter values</w:t>
      </w:r>
    </w:p>
    <w:p w14:paraId="59B2D6F6" w14:textId="46F71FDC" w:rsidR="006C497A" w:rsidRPr="00661C3B" w:rsidRDefault="006C497A" w:rsidP="00661C3B">
      <w:pPr>
        <w:pStyle w:val="SAABullet3"/>
        <w:rPr>
          <w:color w:val="auto"/>
        </w:rPr>
      </w:pPr>
      <w:r w:rsidRPr="00661C3B">
        <w:rPr>
          <w:color w:val="auto"/>
        </w:rPr>
        <w:t>proved conjectures that had not been made or the provided proofs preceded conjectures in the report. This demonstrates poor understanding of mathematical processes and indicates that students are likely sourcing their proofs from textbooks, online or other students</w:t>
      </w:r>
    </w:p>
    <w:p w14:paraId="3CED8E4F" w14:textId="58F1A2DD" w:rsidR="006C497A" w:rsidRPr="00661C3B" w:rsidRDefault="006C497A" w:rsidP="00661C3B">
      <w:pPr>
        <w:pStyle w:val="SAABullet3"/>
        <w:rPr>
          <w:color w:val="auto"/>
        </w:rPr>
      </w:pPr>
      <w:r w:rsidRPr="00661C3B">
        <w:rPr>
          <w:color w:val="auto"/>
        </w:rPr>
        <w:t xml:space="preserve">did not </w:t>
      </w:r>
      <w:r w:rsidR="004D2E47">
        <w:rPr>
          <w:color w:val="auto"/>
        </w:rPr>
        <w:t>demonstrate</w:t>
      </w:r>
      <w:r w:rsidR="004D2E47" w:rsidRPr="00661C3B">
        <w:rPr>
          <w:color w:val="auto"/>
        </w:rPr>
        <w:t xml:space="preserve"> </w:t>
      </w:r>
      <w:r w:rsidRPr="00661C3B">
        <w:rPr>
          <w:color w:val="auto"/>
        </w:rPr>
        <w:t>the connection between general findings regarding the behaviour of surge and logistic models and the modelling process, instead opting for regression or trial and error methods</w:t>
      </w:r>
    </w:p>
    <w:p w14:paraId="0079389B" w14:textId="7FCE8E38" w:rsidR="006C497A" w:rsidRPr="00661C3B" w:rsidRDefault="006C497A" w:rsidP="00661C3B">
      <w:pPr>
        <w:pStyle w:val="SAABullet3"/>
        <w:rPr>
          <w:color w:val="auto"/>
        </w:rPr>
      </w:pPr>
      <w:r w:rsidRPr="00661C3B">
        <w:rPr>
          <w:color w:val="auto"/>
        </w:rPr>
        <w:t xml:space="preserve">did not develop models beyond an initial attempt, thus limiting their ability to demonstrate </w:t>
      </w:r>
      <w:r w:rsidR="00B95CD0">
        <w:rPr>
          <w:color w:val="auto"/>
        </w:rPr>
        <w:t>CT</w:t>
      </w:r>
      <w:r w:rsidRPr="00661C3B">
        <w:rPr>
          <w:color w:val="auto"/>
        </w:rPr>
        <w:t>3</w:t>
      </w:r>
    </w:p>
    <w:p w14:paraId="457D45DC" w14:textId="321BAF48" w:rsidR="006C497A" w:rsidRPr="00661C3B" w:rsidRDefault="006C497A" w:rsidP="00661C3B">
      <w:pPr>
        <w:pStyle w:val="SAABullet3"/>
        <w:rPr>
          <w:color w:val="auto"/>
        </w:rPr>
      </w:pPr>
      <w:r w:rsidRPr="00661C3B">
        <w:rPr>
          <w:color w:val="auto"/>
        </w:rPr>
        <w:t xml:space="preserve">assigned parameter values, initial </w:t>
      </w:r>
      <w:r w:rsidR="00E366DD" w:rsidRPr="00661C3B">
        <w:rPr>
          <w:color w:val="auto"/>
        </w:rPr>
        <w:t>values,</w:t>
      </w:r>
      <w:r w:rsidRPr="00661C3B">
        <w:rPr>
          <w:color w:val="auto"/>
        </w:rPr>
        <w:t xml:space="preserve"> or data in the open section without justification</w:t>
      </w:r>
      <w:r w:rsidR="00661C3B" w:rsidRPr="00661C3B">
        <w:rPr>
          <w:color w:val="auto"/>
        </w:rPr>
        <w:t>.</w:t>
      </w:r>
    </w:p>
    <w:p w14:paraId="71EDE18F" w14:textId="77777777" w:rsidR="006C497A" w:rsidRPr="00661C3B" w:rsidRDefault="006C497A" w:rsidP="006C497A">
      <w:pPr>
        <w:pStyle w:val="SAABullets2"/>
        <w:rPr>
          <w:color w:val="auto"/>
        </w:rPr>
      </w:pPr>
      <w:r w:rsidRPr="00661C3B">
        <w:rPr>
          <w:color w:val="auto"/>
        </w:rPr>
        <w:lastRenderedPageBreak/>
        <w:t>In the rollercoaster task provided online, less successful responses:</w:t>
      </w:r>
    </w:p>
    <w:p w14:paraId="4DF3320B" w14:textId="3F986E7C" w:rsidR="006C497A" w:rsidRPr="00661C3B" w:rsidRDefault="006C497A" w:rsidP="00661C3B">
      <w:pPr>
        <w:pStyle w:val="SAABullet3"/>
        <w:rPr>
          <w:color w:val="auto"/>
        </w:rPr>
      </w:pPr>
      <w:r w:rsidRPr="00661C3B">
        <w:rPr>
          <w:color w:val="auto"/>
        </w:rPr>
        <w:t>did not demonstrate an understanding of the importance of continuity of the slope at transitions beyond the initial linear-quadratic connections</w:t>
      </w:r>
    </w:p>
    <w:p w14:paraId="05D3BD05" w14:textId="55D3699B" w:rsidR="006C497A" w:rsidRPr="00661C3B" w:rsidRDefault="006C497A" w:rsidP="00661C3B">
      <w:pPr>
        <w:pStyle w:val="SAABullet3"/>
        <w:rPr>
          <w:color w:val="auto"/>
        </w:rPr>
      </w:pPr>
      <w:r w:rsidRPr="00661C3B">
        <w:rPr>
          <w:color w:val="auto"/>
        </w:rPr>
        <w:t>did not provide an initial design or research to support the modelling process</w:t>
      </w:r>
    </w:p>
    <w:p w14:paraId="2707274F" w14:textId="2A8741FE" w:rsidR="006C497A" w:rsidRPr="00661C3B" w:rsidRDefault="006C497A" w:rsidP="00661C3B">
      <w:pPr>
        <w:pStyle w:val="SAABullet3"/>
        <w:rPr>
          <w:color w:val="auto"/>
        </w:rPr>
      </w:pPr>
      <w:r w:rsidRPr="00661C3B">
        <w:rPr>
          <w:color w:val="auto"/>
        </w:rPr>
        <w:t>developed their model without reference to scale</w:t>
      </w:r>
    </w:p>
    <w:p w14:paraId="587BC7E8" w14:textId="21FB6938" w:rsidR="006C497A" w:rsidRPr="00661C3B" w:rsidRDefault="006C497A" w:rsidP="00661C3B">
      <w:pPr>
        <w:pStyle w:val="SAABullet3"/>
        <w:rPr>
          <w:color w:val="auto"/>
        </w:rPr>
      </w:pPr>
      <w:r w:rsidRPr="00661C3B">
        <w:rPr>
          <w:color w:val="auto"/>
        </w:rPr>
        <w:t>applied a primarily trial and error approach to function selection or modelling with minimal evidence of mathematical reasoning</w:t>
      </w:r>
    </w:p>
    <w:p w14:paraId="1FB0F0B1" w14:textId="77777777" w:rsidR="006C497A" w:rsidRPr="00661C3B" w:rsidRDefault="006C497A" w:rsidP="00661C3B">
      <w:pPr>
        <w:pStyle w:val="SAABullet3"/>
        <w:rPr>
          <w:color w:val="auto"/>
        </w:rPr>
      </w:pPr>
      <w:r w:rsidRPr="00661C3B">
        <w:rPr>
          <w:color w:val="auto"/>
        </w:rPr>
        <w:t>overused simultaneous equations and/or cubic polynomials in the process of connecting curves.</w:t>
      </w:r>
    </w:p>
    <w:p w14:paraId="620E6EDF" w14:textId="77777777" w:rsidR="006C497A" w:rsidRPr="00661C3B" w:rsidRDefault="006C497A" w:rsidP="006C497A">
      <w:pPr>
        <w:pStyle w:val="SAABullets"/>
        <w:rPr>
          <w:color w:val="auto"/>
        </w:rPr>
      </w:pPr>
      <w:r w:rsidRPr="00661C3B">
        <w:rPr>
          <w:color w:val="auto"/>
        </w:rPr>
        <w:t>ensuring tasks allow for differentiation between student responses, avoiding tasks that inherently lead to uniform results or mathematical processes:</w:t>
      </w:r>
    </w:p>
    <w:p w14:paraId="5EC0402B" w14:textId="77777777" w:rsidR="006C497A" w:rsidRPr="00661C3B" w:rsidRDefault="006C497A" w:rsidP="006C497A">
      <w:pPr>
        <w:pStyle w:val="SAABullets2"/>
        <w:rPr>
          <w:color w:val="auto"/>
        </w:rPr>
      </w:pPr>
      <w:r w:rsidRPr="00661C3B">
        <w:rPr>
          <w:color w:val="auto"/>
        </w:rPr>
        <w:t>The mathematical investigation on mouthwash is unsuitable for the current course. Teachers who continue using this investigation disadvantage students because it lacks opportunities for upper-grade achievements.</w:t>
      </w:r>
    </w:p>
    <w:p w14:paraId="106AA5B0" w14:textId="77777777" w:rsidR="006C497A" w:rsidRPr="00661C3B" w:rsidRDefault="006C497A" w:rsidP="006C497A">
      <w:pPr>
        <w:pStyle w:val="SAABullets2"/>
        <w:rPr>
          <w:color w:val="auto"/>
        </w:rPr>
      </w:pPr>
      <w:r w:rsidRPr="00661C3B">
        <w:rPr>
          <w:color w:val="auto"/>
        </w:rPr>
        <w:t>A new mathematical investigation investigating areas of paper triangles also disadvantaged students as the complexity of the mathematics was limited, and additional paper sizes are a scalar multiple of each other, thus resulting in a repetitive process with little diversity in student outcomes.</w:t>
      </w:r>
    </w:p>
    <w:p w14:paraId="66631246" w14:textId="77777777" w:rsidR="006C497A" w:rsidRPr="00661C3B" w:rsidRDefault="006C497A" w:rsidP="006C497A">
      <w:pPr>
        <w:pStyle w:val="SAABullets2"/>
        <w:rPr>
          <w:color w:val="auto"/>
        </w:rPr>
      </w:pPr>
      <w:r w:rsidRPr="00661C3B">
        <w:rPr>
          <w:color w:val="auto"/>
        </w:rPr>
        <w:t xml:space="preserve">A new mathematical investigation regarding the areas of circles and the </w:t>
      </w:r>
      <w:proofErr w:type="spellStart"/>
      <w:r w:rsidRPr="00661C3B">
        <w:rPr>
          <w:color w:val="auto"/>
        </w:rPr>
        <w:t>arbelos</w:t>
      </w:r>
      <w:proofErr w:type="spellEnd"/>
      <w:r w:rsidRPr="00661C3B">
        <w:rPr>
          <w:color w:val="auto"/>
        </w:rPr>
        <w:t xml:space="preserve"> also disadvantaged students as there was minimal calculus required in the investigation.</w:t>
      </w:r>
    </w:p>
    <w:p w14:paraId="01C0F042" w14:textId="77777777" w:rsidR="006C497A" w:rsidRPr="00661C3B" w:rsidRDefault="006C497A" w:rsidP="006C497A">
      <w:pPr>
        <w:pStyle w:val="SAABullets"/>
        <w:rPr>
          <w:color w:val="auto"/>
        </w:rPr>
      </w:pPr>
      <w:r w:rsidRPr="00661C3B">
        <w:rPr>
          <w:color w:val="auto"/>
        </w:rPr>
        <w:t>ensuring tasks adequately address the content within the subject outline, avoiding tasks that require substantial application of mathematical techniques covered in other courses:</w:t>
      </w:r>
    </w:p>
    <w:p w14:paraId="61CDCBDF" w14:textId="77777777" w:rsidR="006C497A" w:rsidRPr="00661C3B" w:rsidRDefault="006C497A" w:rsidP="006C497A">
      <w:pPr>
        <w:pStyle w:val="SAABullets2"/>
        <w:rPr>
          <w:color w:val="auto"/>
        </w:rPr>
      </w:pPr>
      <w:r w:rsidRPr="00661C3B">
        <w:rPr>
          <w:color w:val="auto"/>
        </w:rPr>
        <w:t>Tasks related to volumes of revolution require knowledge and understanding that should be assessed in the Specialist Mathematics course.</w:t>
      </w:r>
    </w:p>
    <w:p w14:paraId="2F131730" w14:textId="77777777" w:rsidR="006C497A" w:rsidRPr="00661C3B" w:rsidRDefault="006C497A" w:rsidP="006C497A">
      <w:pPr>
        <w:pStyle w:val="SAABullets2"/>
        <w:rPr>
          <w:color w:val="auto"/>
        </w:rPr>
      </w:pPr>
      <w:r w:rsidRPr="00661C3B">
        <w:rPr>
          <w:color w:val="auto"/>
        </w:rPr>
        <w:t>Tasks heavily reliant on regression modelling, particularly using technology, do not provide students with the opportunity to demonstrate the mathematical techniques covered in the course.</w:t>
      </w:r>
    </w:p>
    <w:p w14:paraId="2789EA2B" w14:textId="77777777" w:rsidR="00B30663" w:rsidRPr="00661C3B" w:rsidRDefault="00B30663" w:rsidP="00B30663">
      <w:pPr>
        <w:rPr>
          <w:i/>
          <w:color w:val="auto"/>
        </w:rPr>
      </w:pPr>
      <w:r w:rsidRPr="00661C3B">
        <w:rPr>
          <w:i/>
          <w:color w:val="auto"/>
        </w:rPr>
        <w:t>The more successful responses commonly:</w:t>
      </w:r>
    </w:p>
    <w:p w14:paraId="65975F50" w14:textId="77777777" w:rsidR="006C497A" w:rsidRPr="00661C3B" w:rsidRDefault="006C497A" w:rsidP="006C497A">
      <w:pPr>
        <w:pStyle w:val="SAABullets"/>
        <w:rPr>
          <w:color w:val="auto"/>
        </w:rPr>
      </w:pPr>
      <w:r w:rsidRPr="00661C3B">
        <w:rPr>
          <w:color w:val="auto"/>
        </w:rPr>
        <w:t>demonstrated a connection between mathematical results, real-world implications, and applications</w:t>
      </w:r>
    </w:p>
    <w:p w14:paraId="7B307A7E" w14:textId="77777777" w:rsidR="006C497A" w:rsidRPr="00661C3B" w:rsidRDefault="006C497A" w:rsidP="006C497A">
      <w:pPr>
        <w:pStyle w:val="SAABullets"/>
        <w:rPr>
          <w:color w:val="auto"/>
        </w:rPr>
      </w:pPr>
      <w:r w:rsidRPr="00661C3B">
        <w:rPr>
          <w:color w:val="auto"/>
        </w:rPr>
        <w:t>used effective notation and terminology, such as labelling of graphs and consistent and accurate use of mathematical language</w:t>
      </w:r>
    </w:p>
    <w:p w14:paraId="0DD82C56" w14:textId="77777777" w:rsidR="006C497A" w:rsidRPr="00661C3B" w:rsidRDefault="006C497A" w:rsidP="006C497A">
      <w:pPr>
        <w:pStyle w:val="SAABullets"/>
        <w:rPr>
          <w:color w:val="auto"/>
        </w:rPr>
      </w:pPr>
      <w:r w:rsidRPr="00661C3B">
        <w:rPr>
          <w:color w:val="auto"/>
        </w:rPr>
        <w:t>included detailed model development and refinement processes when creating, testing, and improving mathematical models</w:t>
      </w:r>
    </w:p>
    <w:p w14:paraId="39299CC2" w14:textId="77777777" w:rsidR="006C497A" w:rsidRPr="00661C3B" w:rsidRDefault="006C497A" w:rsidP="006C497A">
      <w:pPr>
        <w:pStyle w:val="SAABullets"/>
        <w:rPr>
          <w:color w:val="auto"/>
        </w:rPr>
      </w:pPr>
      <w:r w:rsidRPr="00661C3B">
        <w:rPr>
          <w:color w:val="auto"/>
        </w:rPr>
        <w:t>presented clear and structured mathematical reasoning when deriving mathematical models or completing mathematical proofs</w:t>
      </w:r>
    </w:p>
    <w:p w14:paraId="0C6F9D30" w14:textId="77777777" w:rsidR="006C497A" w:rsidRPr="00661C3B" w:rsidRDefault="006C497A" w:rsidP="006C497A">
      <w:pPr>
        <w:pStyle w:val="SAABullets"/>
        <w:rPr>
          <w:color w:val="auto"/>
        </w:rPr>
      </w:pPr>
      <w:r w:rsidRPr="00661C3B">
        <w:rPr>
          <w:color w:val="auto"/>
        </w:rPr>
        <w:t>leveraged technology effectively to support calculations and provide graphical representation</w:t>
      </w:r>
    </w:p>
    <w:p w14:paraId="30EE04B1" w14:textId="77777777" w:rsidR="006C497A" w:rsidRPr="00661C3B" w:rsidRDefault="006C497A" w:rsidP="006C497A">
      <w:pPr>
        <w:pStyle w:val="SAABullets"/>
        <w:rPr>
          <w:color w:val="auto"/>
        </w:rPr>
      </w:pPr>
      <w:r w:rsidRPr="00661C3B">
        <w:rPr>
          <w:color w:val="auto"/>
        </w:rPr>
        <w:t>identified and discussed limitations of models by providing insightful and specific contextual critiques</w:t>
      </w:r>
    </w:p>
    <w:p w14:paraId="3636D45E" w14:textId="77777777" w:rsidR="006C497A" w:rsidRPr="00661C3B" w:rsidRDefault="006C497A" w:rsidP="006C497A">
      <w:pPr>
        <w:pStyle w:val="SAABullets"/>
        <w:rPr>
          <w:color w:val="auto"/>
        </w:rPr>
      </w:pPr>
      <w:r w:rsidRPr="00661C3B">
        <w:rPr>
          <w:color w:val="auto"/>
        </w:rPr>
        <w:t>made effective use of graphs and labels to communicate findings visually</w:t>
      </w:r>
    </w:p>
    <w:p w14:paraId="707DDA5C" w14:textId="77777777" w:rsidR="006C497A" w:rsidRPr="00661C3B" w:rsidRDefault="006C497A" w:rsidP="006C497A">
      <w:pPr>
        <w:pStyle w:val="SAABullets"/>
        <w:rPr>
          <w:color w:val="auto"/>
        </w:rPr>
      </w:pPr>
      <w:r w:rsidRPr="00661C3B">
        <w:rPr>
          <w:color w:val="auto"/>
        </w:rPr>
        <w:t>displayed connections between different parts of tasks, leveraging earlier findings in later sections.</w:t>
      </w:r>
    </w:p>
    <w:p w14:paraId="6CB0E087" w14:textId="3B126AB2" w:rsidR="00B30663" w:rsidRPr="00661C3B" w:rsidRDefault="00B30663" w:rsidP="00B30663">
      <w:pPr>
        <w:rPr>
          <w:i/>
          <w:color w:val="auto"/>
        </w:rPr>
      </w:pPr>
      <w:r w:rsidRPr="00661C3B">
        <w:rPr>
          <w:i/>
          <w:color w:val="auto"/>
        </w:rPr>
        <w:t>The less successful responses commonly:</w:t>
      </w:r>
    </w:p>
    <w:p w14:paraId="6392C314" w14:textId="77777777" w:rsidR="006C497A" w:rsidRPr="00661C3B" w:rsidRDefault="006C497A" w:rsidP="006C497A">
      <w:pPr>
        <w:pStyle w:val="SAABullets"/>
        <w:rPr>
          <w:color w:val="auto"/>
        </w:rPr>
      </w:pPr>
      <w:r w:rsidRPr="00661C3B">
        <w:rPr>
          <w:color w:val="auto"/>
        </w:rPr>
        <w:t>relied heavily on scaffolding, failing to investigate beyond the prescribed steps of the task</w:t>
      </w:r>
    </w:p>
    <w:p w14:paraId="1052D220" w14:textId="77777777" w:rsidR="006C497A" w:rsidRPr="00661C3B" w:rsidRDefault="006C497A" w:rsidP="006C497A">
      <w:pPr>
        <w:pStyle w:val="SAABullets"/>
        <w:rPr>
          <w:color w:val="auto"/>
        </w:rPr>
      </w:pPr>
      <w:r w:rsidRPr="00661C3B">
        <w:rPr>
          <w:color w:val="auto"/>
        </w:rPr>
        <w:t>replicated examples without innovation or personal insight</w:t>
      </w:r>
    </w:p>
    <w:p w14:paraId="5453D2C4" w14:textId="77777777" w:rsidR="006C497A" w:rsidRPr="00661C3B" w:rsidRDefault="006C497A" w:rsidP="006C497A">
      <w:pPr>
        <w:pStyle w:val="SAABullets"/>
        <w:rPr>
          <w:color w:val="auto"/>
        </w:rPr>
      </w:pPr>
      <w:r w:rsidRPr="00661C3B">
        <w:rPr>
          <w:color w:val="auto"/>
        </w:rPr>
        <w:t>lacked contextual connections to meaningful real-world contexts</w:t>
      </w:r>
    </w:p>
    <w:p w14:paraId="2EC98B6F" w14:textId="77777777" w:rsidR="006C497A" w:rsidRPr="00661C3B" w:rsidRDefault="006C497A" w:rsidP="006C497A">
      <w:pPr>
        <w:pStyle w:val="SAABullets"/>
        <w:rPr>
          <w:color w:val="auto"/>
        </w:rPr>
      </w:pPr>
      <w:r w:rsidRPr="00661C3B">
        <w:rPr>
          <w:color w:val="auto"/>
        </w:rPr>
        <w:t>presented findings without an understanding of the broader contextual implications</w:t>
      </w:r>
    </w:p>
    <w:p w14:paraId="04F70030" w14:textId="77777777" w:rsidR="006C497A" w:rsidRPr="00661C3B" w:rsidRDefault="006C497A" w:rsidP="006C497A">
      <w:pPr>
        <w:pStyle w:val="SAABullets"/>
        <w:rPr>
          <w:color w:val="auto"/>
        </w:rPr>
      </w:pPr>
      <w:r w:rsidRPr="00661C3B">
        <w:rPr>
          <w:color w:val="auto"/>
        </w:rPr>
        <w:t>skipped steps in mathematical reasoning, jumping to conclusions or lacking intermediate steps in algebraic processes</w:t>
      </w:r>
    </w:p>
    <w:p w14:paraId="12CEE345" w14:textId="77777777" w:rsidR="006C497A" w:rsidRPr="00661C3B" w:rsidRDefault="006C497A" w:rsidP="006C497A">
      <w:pPr>
        <w:pStyle w:val="SAABullets"/>
        <w:rPr>
          <w:color w:val="auto"/>
        </w:rPr>
      </w:pPr>
      <w:r w:rsidRPr="00661C3B">
        <w:rPr>
          <w:color w:val="auto"/>
        </w:rPr>
        <w:t>used online tools to complete routine tasks such as differentiation and then used screenshots or directly copied from these sources as if it were their own work</w:t>
      </w:r>
    </w:p>
    <w:p w14:paraId="25F17987" w14:textId="77777777" w:rsidR="006C497A" w:rsidRPr="00661C3B" w:rsidRDefault="006C497A" w:rsidP="006C497A">
      <w:pPr>
        <w:pStyle w:val="SAABullets"/>
        <w:rPr>
          <w:color w:val="auto"/>
        </w:rPr>
      </w:pPr>
      <w:r w:rsidRPr="00661C3B">
        <w:rPr>
          <w:color w:val="auto"/>
        </w:rPr>
        <w:t>misused notation or lacked clear labelling in graphs</w:t>
      </w:r>
    </w:p>
    <w:p w14:paraId="3BCFF102" w14:textId="77777777" w:rsidR="006C497A" w:rsidRPr="00661C3B" w:rsidRDefault="006C497A" w:rsidP="006C497A">
      <w:pPr>
        <w:pStyle w:val="SAABullets"/>
        <w:rPr>
          <w:color w:val="auto"/>
        </w:rPr>
      </w:pPr>
      <w:r w:rsidRPr="00661C3B">
        <w:rPr>
          <w:color w:val="auto"/>
        </w:rPr>
        <w:lastRenderedPageBreak/>
        <w:t>did not provide graphical representations of the models developed</w:t>
      </w:r>
    </w:p>
    <w:p w14:paraId="335D9FB6" w14:textId="77777777" w:rsidR="006C497A" w:rsidRPr="00661C3B" w:rsidRDefault="006C497A" w:rsidP="006C497A">
      <w:pPr>
        <w:pStyle w:val="SAABullets"/>
        <w:rPr>
          <w:color w:val="auto"/>
        </w:rPr>
      </w:pPr>
      <w:r w:rsidRPr="00661C3B">
        <w:rPr>
          <w:color w:val="auto"/>
        </w:rPr>
        <w:t>lacked clear labelling of functions on graphs where multiple functions were presented</w:t>
      </w:r>
    </w:p>
    <w:p w14:paraId="29C4D59F" w14:textId="77777777" w:rsidR="006C497A" w:rsidRDefault="006C497A" w:rsidP="006C497A">
      <w:pPr>
        <w:pStyle w:val="SAABullets"/>
      </w:pPr>
      <w:r>
        <w:t>neglected to support their mathematical conclusions using graphical evidence</w:t>
      </w:r>
    </w:p>
    <w:p w14:paraId="7F43F9B1" w14:textId="77777777" w:rsidR="006C497A" w:rsidRDefault="006C497A" w:rsidP="006C497A">
      <w:pPr>
        <w:pStyle w:val="SAABullets"/>
      </w:pPr>
      <w:r>
        <w:t>relied on proofs that are easily accessible through textbooks or online</w:t>
      </w:r>
    </w:p>
    <w:p w14:paraId="6DCEFFB2" w14:textId="77777777" w:rsidR="006C497A" w:rsidRDefault="006C497A" w:rsidP="006C497A">
      <w:pPr>
        <w:pStyle w:val="SAABullets"/>
      </w:pPr>
      <w:r>
        <w:t>overlooked the limitations of their mathematical models, ignoring or minimally addressing the assumptions or constraints of the models and the limitations of the findings.</w:t>
      </w:r>
    </w:p>
    <w:p w14:paraId="5C4870E8" w14:textId="5AFCCB73" w:rsidR="00B30663" w:rsidRDefault="00CC0708" w:rsidP="00B30663">
      <w:pPr>
        <w:pStyle w:val="Heading1"/>
      </w:pPr>
      <w:r>
        <w:t>E</w:t>
      </w:r>
      <w:r w:rsidR="00B30663" w:rsidRPr="00B30663">
        <w:t>xternal Assessment</w:t>
      </w:r>
    </w:p>
    <w:p w14:paraId="0946AB9E" w14:textId="77777777" w:rsidR="00531DC2" w:rsidRPr="00B30663" w:rsidRDefault="00531DC2" w:rsidP="00531DC2">
      <w:pPr>
        <w:pStyle w:val="Heading2NoNumber"/>
      </w:pPr>
      <w:r w:rsidRPr="00B30663">
        <w:t xml:space="preserve">Assessment Type 3: </w:t>
      </w:r>
      <w:r>
        <w:t>Examination</w:t>
      </w:r>
    </w:p>
    <w:p w14:paraId="31886053" w14:textId="2E5CD9D3" w:rsidR="00E7002A" w:rsidRPr="00E7002A" w:rsidRDefault="006A5CF3" w:rsidP="00531DC2">
      <w:pPr>
        <w:pStyle w:val="SAAbodytext8mmabove"/>
        <w:rPr>
          <w:rFonts w:eastAsia="Roboto Light" w:cs="Angsana New"/>
        </w:rPr>
      </w:pPr>
      <w:r w:rsidRPr="00E7002A">
        <w:rPr>
          <w:rFonts w:eastAsia="Roboto Light" w:cs="Angsana New"/>
        </w:rPr>
        <w:t xml:space="preserve">Before looking at individual questions, the dot points below highlight common paper-wide issues observed in student responses. Much of this advice has been provided in </w:t>
      </w:r>
      <w:r w:rsidR="00BB0F09">
        <w:rPr>
          <w:rFonts w:eastAsia="Roboto Light" w:cs="Angsana New"/>
        </w:rPr>
        <w:t xml:space="preserve">the </w:t>
      </w:r>
      <w:r w:rsidRPr="00E7002A">
        <w:rPr>
          <w:rFonts w:eastAsia="Roboto Light" w:cs="Angsana New"/>
        </w:rPr>
        <w:t>previous Subject Assessment Advice; however, it is reiterated because these issues continue to limit student achievement. The examination markers endeavour to award marks for evidence of understanding wherever possible, and the guidance below is intended to support students in demonstrating their knowledge and skills more consistently across the paper.</w:t>
      </w:r>
    </w:p>
    <w:p w14:paraId="0D098072" w14:textId="79B1B562" w:rsidR="00531DC2" w:rsidRPr="00E7002A" w:rsidRDefault="00531DC2" w:rsidP="00531DC2">
      <w:pPr>
        <w:pStyle w:val="SAAbodytext8mmabove"/>
      </w:pPr>
      <w:r w:rsidRPr="00E7002A">
        <w:t>When completing their examination, students should:</w:t>
      </w:r>
    </w:p>
    <w:p w14:paraId="40913B41" w14:textId="1C949473" w:rsidR="00531DC2" w:rsidRDefault="006A5CF3" w:rsidP="006A5CF3">
      <w:pPr>
        <w:pStyle w:val="SAABullets"/>
      </w:pPr>
      <w:r w:rsidRPr="006A5CF3">
        <w:t>avoid crossing out</w:t>
      </w:r>
      <w:r>
        <w:t xml:space="preserve"> </w:t>
      </w:r>
      <w:r w:rsidR="00531DC2">
        <w:t xml:space="preserve">responses or attempted responses to questions in the examination booklet unless they are confident that no part of </w:t>
      </w:r>
      <w:r>
        <w:t xml:space="preserve">the </w:t>
      </w:r>
      <w:r w:rsidR="00531DC2">
        <w:t>response should be considered by the marker</w:t>
      </w:r>
    </w:p>
    <w:p w14:paraId="1E9AFC0A" w14:textId="77777777" w:rsidR="00531DC2" w:rsidRDefault="00531DC2" w:rsidP="00531DC2">
      <w:pPr>
        <w:pStyle w:val="SAABullets"/>
      </w:pPr>
      <w:r>
        <w:t>clearly let markers know if they complete a question on one of the blank pages available to ensure that it is considered as a possible response to a question</w:t>
      </w:r>
    </w:p>
    <w:p w14:paraId="3AC3D3CA" w14:textId="77777777" w:rsidR="00531DC2" w:rsidRDefault="00531DC2" w:rsidP="00531DC2">
      <w:pPr>
        <w:pStyle w:val="SAABullets"/>
      </w:pPr>
      <w:r>
        <w:t>pay closer attention to the wording of questions. Words or phrases such as ‘exact’, ‘hence’, ‘show’, or ‘using an algebraic process’ are used to help guide a student’s approach in finding a solution</w:t>
      </w:r>
    </w:p>
    <w:p w14:paraId="05A0C327" w14:textId="77777777" w:rsidR="00531DC2" w:rsidRDefault="00531DC2" w:rsidP="00531DC2">
      <w:pPr>
        <w:pStyle w:val="SAABullets"/>
      </w:pPr>
      <w:bookmarkStart w:id="1" w:name="_Hlk184304096"/>
      <w:r>
        <w:t xml:space="preserve">ensure that their answer makes sense in the context of the problem. In instances where a trivial error leads to an unrealistic answer, a mark may be awarded if the student shows recognition (via comment) of a likely error in their method. An example of an unrealistic answer would be when calculating a probability through an integral, resulting in a value that is greater than </w:t>
      </w:r>
      <m:oMath>
        <m:r>
          <w:rPr>
            <w:rFonts w:ascii="Cambria Math" w:hAnsi="Cambria Math"/>
          </w:rPr>
          <m:t>1</m:t>
        </m:r>
      </m:oMath>
    </w:p>
    <w:bookmarkEnd w:id="1"/>
    <w:p w14:paraId="036B6FAF" w14:textId="77777777" w:rsidR="00531DC2" w:rsidRDefault="00531DC2" w:rsidP="00531DC2">
      <w:pPr>
        <w:pStyle w:val="SAABullets"/>
      </w:pPr>
      <w:r>
        <w:t>take greater note of the allocated marks and space provided in a question to determine if they can use technology or simply state the answer (rather than show any mathematical process)</w:t>
      </w:r>
    </w:p>
    <w:p w14:paraId="4BA84F1C" w14:textId="77777777" w:rsidR="00531DC2" w:rsidRDefault="00531DC2" w:rsidP="00531DC2">
      <w:pPr>
        <w:pStyle w:val="SAABullets"/>
      </w:pPr>
      <w:r>
        <w:t>understand that even if they do not successfully solve one part of a question, they can generally continue to attempt to solve the following sections. Great care is taken during the writing process to allow multiple entry points into questions wherever possible. Where a student requires a previous answer which they were unable to find, to continue with the next part of the question, they are encouraged to ‘make up’ a reasonable result and use this to continue with all future parts for which it is relevant</w:t>
      </w:r>
    </w:p>
    <w:p w14:paraId="49E7BFDE" w14:textId="0C44D018" w:rsidR="00E7002A" w:rsidRDefault="00531DC2" w:rsidP="00C77A4B">
      <w:pPr>
        <w:pStyle w:val="SAABullets"/>
      </w:pPr>
      <w:r>
        <w:t xml:space="preserve">be more careful when rounding numbers appropriately. It is an expectation of the course that answers are given to three significant figures (unless otherwise stated). To </w:t>
      </w:r>
      <w:r w:rsidR="006A5CF3" w:rsidRPr="006A5CF3">
        <w:t xml:space="preserve">avoid unfairly penalising </w:t>
      </w:r>
      <w:r w:rsidR="00E7002A" w:rsidRPr="006A5CF3">
        <w:t>students’</w:t>
      </w:r>
      <w:r w:rsidR="006A5CF3">
        <w:t xml:space="preserve"> </w:t>
      </w:r>
      <w:r>
        <w:t xml:space="preserve">multiple times throughout both booklets, the examination writing team identify a specific question </w:t>
      </w:r>
      <w:r w:rsidR="006A5CF3" w:rsidRPr="006A5CF3">
        <w:t>in which rounding errors are penalised</w:t>
      </w:r>
    </w:p>
    <w:p w14:paraId="1434941B" w14:textId="0B6F5A4C" w:rsidR="00531DC2" w:rsidRDefault="00531DC2" w:rsidP="00C77A4B">
      <w:pPr>
        <w:pStyle w:val="SAABullets"/>
      </w:pPr>
      <w:r>
        <w:t>sketch graphs more carefully using a pencil. Students should take note of the key aspects of the graph they wish to plot and ensure that they are accurately plotted. These include shape, axes intercepts, intersections with the graphs of other functions, critical points (for example turning points), asymptotes, and the end points of functions on a domain</w:t>
      </w:r>
    </w:p>
    <w:p w14:paraId="40229C9C" w14:textId="7728197A" w:rsidR="00531DC2" w:rsidRDefault="00531DC2" w:rsidP="00531DC2">
      <w:pPr>
        <w:pStyle w:val="SAABullets"/>
      </w:pPr>
      <w:r>
        <w:t>not bother to write the name of the derivative rules used (adjacent to their working), for example ‘using product rule’. This is not a requirement in any calculus-based question and is ignored during the marking process</w:t>
      </w:r>
    </w:p>
    <w:p w14:paraId="0ADEED7C" w14:textId="09342E52" w:rsidR="00531DC2" w:rsidRDefault="00531DC2" w:rsidP="006A5CF3">
      <w:pPr>
        <w:pStyle w:val="SAABullets"/>
      </w:pPr>
      <w:r>
        <w:rPr>
          <w:rFonts w:eastAsiaTheme="minorEastAsia"/>
        </w:rPr>
        <w:t>extend their graphs to reach either the horizontal or vertical edges of the grid space provided (whichever comes first) when sketching graphs</w:t>
      </w:r>
      <w:r w:rsidR="008F09F3">
        <w:rPr>
          <w:rFonts w:eastAsiaTheme="minorEastAsia"/>
        </w:rPr>
        <w:t xml:space="preserve">. </w:t>
      </w:r>
      <w:r>
        <w:rPr>
          <w:rFonts w:eastAsiaTheme="minorEastAsia"/>
        </w:rPr>
        <w:t>Many students only draw a small section of requested graphs leading to not all marks being achieved</w:t>
      </w:r>
      <w:r w:rsidR="008F09F3">
        <w:rPr>
          <w:rFonts w:eastAsiaTheme="minorEastAsia"/>
        </w:rPr>
        <w:t xml:space="preserve">. </w:t>
      </w:r>
      <w:r w:rsidR="006A5CF3" w:rsidRPr="006A5CF3">
        <w:rPr>
          <w:rFonts w:eastAsiaTheme="minorEastAsia"/>
        </w:rPr>
        <w:t xml:space="preserve">Students are </w:t>
      </w:r>
      <w:r w:rsidR="00E7002A" w:rsidRPr="006A5CF3">
        <w:rPr>
          <w:rFonts w:eastAsiaTheme="minorEastAsia"/>
        </w:rPr>
        <w:t>encouraged</w:t>
      </w:r>
      <w:r w:rsidR="00E7002A">
        <w:rPr>
          <w:rFonts w:eastAsiaTheme="minorEastAsia"/>
        </w:rPr>
        <w:t xml:space="preserve"> to</w:t>
      </w:r>
      <w:r>
        <w:rPr>
          <w:rFonts w:eastAsiaTheme="minorEastAsia"/>
        </w:rPr>
        <w:t xml:space="preserve"> use technology to calculate the </w:t>
      </w:r>
      <w:r w:rsidR="00E7002A">
        <w:rPr>
          <w:rFonts w:eastAsiaTheme="minorEastAsia"/>
        </w:rPr>
        <w:t>left-most</w:t>
      </w:r>
      <w:r>
        <w:rPr>
          <w:rFonts w:eastAsiaTheme="minorEastAsia"/>
        </w:rPr>
        <w:t xml:space="preserve"> visible point and rightmost visible point possible. Additionally, when adding a graph to a Figure already containing a sketched function, </w:t>
      </w:r>
      <w:r w:rsidR="006A5CF3">
        <w:rPr>
          <w:rFonts w:eastAsiaTheme="minorEastAsia"/>
        </w:rPr>
        <w:t>s</w:t>
      </w:r>
      <w:r w:rsidR="006A5CF3" w:rsidRPr="006A5CF3">
        <w:rPr>
          <w:rFonts w:eastAsiaTheme="minorEastAsia"/>
        </w:rPr>
        <w:t xml:space="preserve">tudents are </w:t>
      </w:r>
      <w:r w:rsidR="00E7002A" w:rsidRPr="006A5CF3">
        <w:rPr>
          <w:rFonts w:eastAsiaTheme="minorEastAsia"/>
        </w:rPr>
        <w:t>encouraged</w:t>
      </w:r>
      <w:r w:rsidR="00E7002A">
        <w:rPr>
          <w:rFonts w:eastAsiaTheme="minorEastAsia"/>
        </w:rPr>
        <w:t xml:space="preserve"> to</w:t>
      </w:r>
      <w:r>
        <w:rPr>
          <w:rFonts w:eastAsiaTheme="minorEastAsia"/>
        </w:rPr>
        <w:t xml:space="preserve"> draw both functions in their graphics calculator so that they can visualise how the functions interact</w:t>
      </w:r>
      <w:r w:rsidR="00354563">
        <w:t>.</w:t>
      </w:r>
    </w:p>
    <w:p w14:paraId="2549553D" w14:textId="097D43F1" w:rsidR="00531DC2" w:rsidRDefault="00531DC2" w:rsidP="00531DC2">
      <w:pPr>
        <w:rPr>
          <w:color w:val="000000" w:themeColor="text1"/>
        </w:rPr>
      </w:pPr>
      <w:r>
        <w:lastRenderedPageBreak/>
        <w:t>A point of difference in this year’s exam was the multiple tick-box style questions</w:t>
      </w:r>
      <w:r w:rsidR="008F09F3">
        <w:t xml:space="preserve">. </w:t>
      </w:r>
      <w:r>
        <w:t>This was done to help model appropriate student responses (particularly in confidence interval questions) to help students achieve more marks in these question types in future years.</w:t>
      </w:r>
    </w:p>
    <w:p w14:paraId="400A0000" w14:textId="77777777" w:rsidR="00B2646F" w:rsidRDefault="00B2646F" w:rsidP="00B2646F">
      <w:pPr>
        <w:pStyle w:val="SAAQuestion"/>
      </w:pPr>
      <w:r>
        <w:t>Question 1</w:t>
      </w:r>
    </w:p>
    <w:p w14:paraId="5AAECDA0" w14:textId="31E1A867" w:rsidR="00B2646F" w:rsidRPr="00B2646F" w:rsidRDefault="00B2646F" w:rsidP="009802AB">
      <w:pPr>
        <w:pStyle w:val="SAAbodytext"/>
      </w:pPr>
      <w:r w:rsidRPr="00B2646F">
        <w:t>This year’s exam returned to the familiar opening question from past papers involving routine differential calculus and integral calculus with no context</w:t>
      </w:r>
      <w:r w:rsidR="008F09F3" w:rsidRPr="00B2646F">
        <w:t xml:space="preserve">. </w:t>
      </w:r>
      <w:r w:rsidRPr="00B2646F">
        <w:t xml:space="preserve">As with past exams, students achieved comparatively well in this question type due to its </w:t>
      </w:r>
      <w:r w:rsidR="009802AB" w:rsidRPr="009802AB">
        <w:t>familiarity</w:t>
      </w:r>
      <w:r w:rsidR="009802AB">
        <w:t>.</w:t>
      </w:r>
      <w:r w:rsidRPr="00B2646F">
        <w:t xml:space="preserve"> On average, students scored 6 out of the 8 marks on offer, with most marks being lost in part (b). Approximately 40% of students achieved full marks for this question.</w:t>
      </w:r>
    </w:p>
    <w:p w14:paraId="7F1353DB" w14:textId="77777777" w:rsidR="00B2646F" w:rsidRPr="00B2646F" w:rsidRDefault="00B2646F" w:rsidP="00B2646F">
      <w:pPr>
        <w:pStyle w:val="SAAmoreless"/>
        <w:numPr>
          <w:ilvl w:val="0"/>
          <w:numId w:val="11"/>
        </w:numPr>
      </w:pPr>
      <w:r w:rsidRPr="00B2646F">
        <w:t>The more successful responses commonly:</w:t>
      </w:r>
    </w:p>
    <w:p w14:paraId="2384E582" w14:textId="77777777" w:rsidR="00B2646F" w:rsidRPr="00B2646F" w:rsidRDefault="00B2646F" w:rsidP="00B2646F">
      <w:pPr>
        <w:pStyle w:val="SAABullets"/>
      </w:pPr>
      <w:r w:rsidRPr="00B2646F">
        <w:t>used derivative rules carefully and correctly to find answers in part (a)</w:t>
      </w:r>
    </w:p>
    <w:p w14:paraId="0817F37E" w14:textId="3EAD0549" w:rsidR="00E7002A" w:rsidRDefault="00B2646F" w:rsidP="009802AB">
      <w:pPr>
        <w:pStyle w:val="SAABullets"/>
      </w:pPr>
      <w:r w:rsidRPr="00B2646F">
        <w:t>did not expand the brackets in part (a)(iii)</w:t>
      </w:r>
      <w:r w:rsidR="009802AB">
        <w:t xml:space="preserve"> </w:t>
      </w:r>
      <w:r w:rsidR="009802AB" w:rsidRPr="009802AB">
        <w:t xml:space="preserve">recognising that the expanded form </w:t>
      </w:r>
      <w:r w:rsidR="009802AB">
        <w:t xml:space="preserve">would </w:t>
      </w:r>
      <w:r w:rsidR="009802AB" w:rsidRPr="009802AB">
        <w:t>also require the use of the product rule</w:t>
      </w:r>
      <w:r w:rsidR="009802AB">
        <w:t xml:space="preserve">, and that </w:t>
      </w:r>
      <w:r w:rsidR="009802AB" w:rsidRPr="009802AB">
        <w:t>differentiating the expression in its given form was therefore</w:t>
      </w:r>
      <w:r w:rsidR="007759FA">
        <w:t xml:space="preserve"> a</w:t>
      </w:r>
      <w:r w:rsidR="009802AB" w:rsidRPr="009802AB">
        <w:t xml:space="preserve"> more efficient </w:t>
      </w:r>
      <w:r w:rsidR="00E7002A" w:rsidRPr="009802AB">
        <w:t>approach</w:t>
      </w:r>
      <w:r w:rsidR="00E7002A">
        <w:t xml:space="preserve"> </w:t>
      </w:r>
    </w:p>
    <w:p w14:paraId="18B646D3" w14:textId="6540F586" w:rsidR="00B2646F" w:rsidRDefault="00E7002A" w:rsidP="009802AB">
      <w:pPr>
        <w:pStyle w:val="SAABullets"/>
      </w:pPr>
      <w:r>
        <w:t>correctly</w:t>
      </w:r>
      <w:r w:rsidR="00B2646F">
        <w:t xml:space="preserve"> simplified the equation in part (b) to be in an appropriate form, before integrating it using the relevant rules, and </w:t>
      </w:r>
      <w:r w:rsidR="009802AB" w:rsidRPr="009802AB">
        <w:t>included the constant of integration</w:t>
      </w:r>
      <w:r w:rsidR="009802AB" w:rsidRPr="009802AB" w:rsidDel="009802AB">
        <w:t xml:space="preserve"> </w:t>
      </w:r>
      <w:r w:rsidR="00B2646F">
        <w:t>“</w:t>
      </w:r>
      <m:oMath>
        <m:r>
          <w:rPr>
            <w:rFonts w:ascii="Cambria Math" w:hAnsi="Cambria Math"/>
          </w:rPr>
          <m:t>+c</m:t>
        </m:r>
      </m:oMath>
      <w:r w:rsidR="00B2646F" w:rsidRPr="009802AB">
        <w:rPr>
          <w:rFonts w:eastAsiaTheme="minorEastAsia"/>
        </w:rPr>
        <w:t>”.</w:t>
      </w:r>
    </w:p>
    <w:p w14:paraId="40FA4579" w14:textId="77777777" w:rsidR="00B2646F" w:rsidRDefault="00B2646F" w:rsidP="00B2646F">
      <w:pPr>
        <w:pStyle w:val="SAAmoreless"/>
      </w:pPr>
      <w:r>
        <w:t>The less successful responses commonly:</w:t>
      </w:r>
    </w:p>
    <w:p w14:paraId="5C47F950" w14:textId="42D44E16" w:rsidR="00B2646F" w:rsidRPr="00B2646F" w:rsidRDefault="009802AB" w:rsidP="009802AB">
      <w:pPr>
        <w:pStyle w:val="SAABullets"/>
      </w:pPr>
      <w:r w:rsidRPr="009802AB">
        <w:t>showed carelessness</w:t>
      </w:r>
      <w:r w:rsidRPr="009802AB" w:rsidDel="009802AB">
        <w:t xml:space="preserve"> </w:t>
      </w:r>
      <w:r w:rsidR="00B2646F" w:rsidRPr="00B2646F">
        <w:t>in their notation in part (a)</w:t>
      </w:r>
      <w:r w:rsidR="007759FA">
        <w:t>. C</w:t>
      </w:r>
      <w:r w:rsidR="00B2646F" w:rsidRPr="00B2646F">
        <w:t>ommon issues were missing brackets, indices, and negatives</w:t>
      </w:r>
      <w:r>
        <w:t xml:space="preserve"> signs</w:t>
      </w:r>
    </w:p>
    <w:p w14:paraId="50346168" w14:textId="27B631C0" w:rsidR="00B2646F" w:rsidRPr="00B2646F" w:rsidRDefault="007759FA" w:rsidP="00B2646F">
      <w:pPr>
        <w:pStyle w:val="SAABullets"/>
      </w:pPr>
      <w:r>
        <w:t xml:space="preserve">incorrectly </w:t>
      </w:r>
      <w:r w:rsidR="00B2646F" w:rsidRPr="00B2646F">
        <w:t>integrated the numerator and denominator separately in part (b).</w:t>
      </w:r>
    </w:p>
    <w:p w14:paraId="0489A97A" w14:textId="77777777" w:rsidR="00B2646F" w:rsidRDefault="00B2646F" w:rsidP="00B2646F">
      <w:pPr>
        <w:pStyle w:val="SAAQuestion"/>
      </w:pPr>
      <w:r>
        <w:t>Question 2</w:t>
      </w:r>
    </w:p>
    <w:p w14:paraId="303766DE" w14:textId="4684FD73" w:rsidR="00B2646F" w:rsidRPr="00B2646F" w:rsidRDefault="00B2646F" w:rsidP="00B2646F">
      <w:pPr>
        <w:pStyle w:val="SAAbodytext"/>
      </w:pPr>
      <w:r w:rsidRPr="00B2646F">
        <w:t>This question, focusing on the Normal Distribution and the distribution of Sample Sums</w:t>
      </w:r>
      <w:r w:rsidR="009802AB">
        <w:t>,</w:t>
      </w:r>
      <w:r w:rsidRPr="00B2646F">
        <w:t xml:space="preserve"> was reasonably routine in nature, but required careful reading to ensure the correct parameters were used</w:t>
      </w:r>
      <w:r w:rsidR="008F09F3" w:rsidRPr="00B2646F">
        <w:t xml:space="preserve">. </w:t>
      </w:r>
      <w:r w:rsidRPr="00B2646F">
        <w:t>Students generally did well in this question, with approximately 50% of students achieving 6 marks or more from the 8 marks on offer.</w:t>
      </w:r>
    </w:p>
    <w:p w14:paraId="5872194E" w14:textId="77777777" w:rsidR="00B2646F" w:rsidRDefault="00B2646F" w:rsidP="00B2646F">
      <w:pPr>
        <w:pStyle w:val="SAAmoreless"/>
      </w:pPr>
      <w:r>
        <w:t>The more successful responses commonly:</w:t>
      </w:r>
    </w:p>
    <w:p w14:paraId="2C41AA31" w14:textId="21554A0F" w:rsidR="00B2646F" w:rsidRPr="00B2646F" w:rsidRDefault="009802AB" w:rsidP="009802AB">
      <w:pPr>
        <w:pStyle w:val="SAABullets"/>
      </w:pPr>
      <w:r w:rsidRPr="009802AB">
        <w:t>showed evidence of careful reading of the question, ensuring</w:t>
      </w:r>
      <w:r w:rsidR="00B2646F" w:rsidRPr="00B2646F">
        <w:t xml:space="preserve"> parameters were correctly selected to match the appropriate type of tofu block throughout all parts of the question</w:t>
      </w:r>
    </w:p>
    <w:p w14:paraId="6E2AE002" w14:textId="0B478CF0" w:rsidR="00B2646F" w:rsidRPr="00B2646F" w:rsidRDefault="00B2646F" w:rsidP="00B2646F">
      <w:pPr>
        <w:pStyle w:val="SAABullets"/>
      </w:pPr>
      <w:r w:rsidRPr="00B2646F">
        <w:t>used the probability calculated in part (a) and the probability given in part (b) to correctly select ‘small blocks’ in part (c)</w:t>
      </w:r>
    </w:p>
    <w:p w14:paraId="7DE08E21" w14:textId="1EAD011F" w:rsidR="00B2646F" w:rsidRPr="00B2646F" w:rsidRDefault="00B2646F" w:rsidP="009802AB">
      <w:pPr>
        <w:pStyle w:val="SAABullets"/>
      </w:pPr>
      <w:r w:rsidRPr="00B2646F">
        <w:t>showed clear working out in part (d)(</w:t>
      </w:r>
      <w:proofErr w:type="spellStart"/>
      <w:r w:rsidRPr="00B2646F">
        <w:t>i</w:t>
      </w:r>
      <w:proofErr w:type="spellEnd"/>
      <w:r w:rsidRPr="00B2646F">
        <w:t>)</w:t>
      </w:r>
      <w:r w:rsidR="008F09F3" w:rsidRPr="00B2646F">
        <w:t xml:space="preserve">. </w:t>
      </w:r>
      <w:r w:rsidRPr="00B2646F">
        <w:t xml:space="preserve">As the answer is supplied in this question, </w:t>
      </w:r>
      <w:r w:rsidR="009802AB" w:rsidRPr="009802AB">
        <w:t>students were required</w:t>
      </w:r>
      <w:r w:rsidR="009802AB">
        <w:t xml:space="preserve"> </w:t>
      </w:r>
      <w:r w:rsidRPr="00B2646F">
        <w:t xml:space="preserve">to show clear substitution into the </w:t>
      </w:r>
      <w:r w:rsidR="009802AB">
        <w:t>relevant</w:t>
      </w:r>
      <w:r w:rsidR="009802AB" w:rsidRPr="00B2646F">
        <w:t xml:space="preserve"> </w:t>
      </w:r>
      <w:r w:rsidRPr="00B2646F">
        <w:t xml:space="preserve">formula to calculate </w:t>
      </w:r>
      <w:r w:rsidR="0089395B">
        <w:t>the</w:t>
      </w:r>
      <w:r w:rsidR="0089395B" w:rsidRPr="00B2646F">
        <w:t xml:space="preserve"> </w:t>
      </w:r>
      <w:r w:rsidRPr="00B2646F">
        <w:t xml:space="preserve">two requested parameters. </w:t>
      </w:r>
      <w:r w:rsidR="007759FA">
        <w:br/>
      </w:r>
      <w:r w:rsidRPr="00B2646F">
        <w:t xml:space="preserve">(i.e. </w:t>
      </w:r>
      <m:oMath>
        <m:r>
          <w:rPr>
            <w:rFonts w:ascii="Cambria Math" w:hAnsi="Cambria Math"/>
          </w:rPr>
          <m:t>μ</m:t>
        </m:r>
        <m:r>
          <m:rPr>
            <m:sty m:val="p"/>
          </m:rPr>
          <w:rPr>
            <w:rFonts w:ascii="Cambria Math" w:hAnsi="Cambria Math"/>
          </w:rPr>
          <m:t>=25×408</m:t>
        </m:r>
      </m:oMath>
      <w:r w:rsidRPr="00B2646F">
        <w:t xml:space="preserve"> and </w:t>
      </w:r>
      <m:oMath>
        <m:r>
          <w:rPr>
            <w:rFonts w:ascii="Cambria Math" w:hAnsi="Cambria Math"/>
          </w:rPr>
          <m:t>σ</m:t>
        </m:r>
        <m:r>
          <m:rPr>
            <m:sty m:val="p"/>
          </m:rPr>
          <w:rPr>
            <w:rFonts w:ascii="Cambria Math" w:hAnsi="Cambria Math"/>
          </w:rPr>
          <m:t>=</m:t>
        </m:r>
        <m:rad>
          <m:radPr>
            <m:degHide m:val="1"/>
            <m:ctrlPr>
              <w:rPr>
                <w:rFonts w:ascii="Cambria Math" w:hAnsi="Cambria Math"/>
              </w:rPr>
            </m:ctrlPr>
          </m:radPr>
          <m:deg/>
          <m:e>
            <m:r>
              <m:rPr>
                <m:sty m:val="p"/>
              </m:rPr>
              <w:rPr>
                <w:rFonts w:ascii="Cambria Math" w:hAnsi="Cambria Math"/>
              </w:rPr>
              <m:t>25</m:t>
            </m:r>
          </m:e>
        </m:rad>
        <m:r>
          <m:rPr>
            <m:sty m:val="p"/>
          </m:rPr>
          <w:rPr>
            <w:rFonts w:ascii="Cambria Math" w:hAnsi="Cambria Math"/>
          </w:rPr>
          <m:t>×6.9</m:t>
        </m:r>
      </m:oMath>
      <w:r w:rsidRPr="00B2646F">
        <w:t>)</w:t>
      </w:r>
    </w:p>
    <w:p w14:paraId="2B6E08C1" w14:textId="77777777" w:rsidR="00B2646F" w:rsidRDefault="00B2646F" w:rsidP="00B2646F">
      <w:pPr>
        <w:pStyle w:val="SAAmoreless"/>
      </w:pPr>
      <w:r>
        <w:t>The less successful responses commonly:</w:t>
      </w:r>
    </w:p>
    <w:p w14:paraId="3752A8C8" w14:textId="3E70AE50" w:rsidR="00B2646F" w:rsidRPr="00B2646F" w:rsidRDefault="00B2646F" w:rsidP="0089395B">
      <w:pPr>
        <w:pStyle w:val="SAABullets"/>
      </w:pPr>
      <w:r w:rsidRPr="00B2646F">
        <w:t>did not treat the random variables modelling the weights of various tofu blocks as continuous throughout the question</w:t>
      </w:r>
      <w:r w:rsidR="008F09F3" w:rsidRPr="00B2646F">
        <w:t xml:space="preserve">. </w:t>
      </w:r>
      <w:r w:rsidRPr="00B2646F">
        <w:t>This led to incorrect manipulation of inequalities in some students</w:t>
      </w:r>
      <w:r w:rsidR="0089395B">
        <w:t>’</w:t>
      </w:r>
      <w:r w:rsidRPr="00B2646F">
        <w:t xml:space="preserve"> calculations</w:t>
      </w:r>
      <w:r w:rsidR="008F09F3" w:rsidRPr="00B2646F">
        <w:t xml:space="preserve">. </w:t>
      </w:r>
      <w:r w:rsidRPr="00B2646F">
        <w:t xml:space="preserve">For </w:t>
      </w:r>
      <w:r w:rsidR="00E7002A" w:rsidRPr="00B2646F">
        <w:t>example,</w:t>
      </w:r>
      <w:r w:rsidRPr="00B2646F">
        <w:t xml:space="preserve"> in part (a), </w:t>
      </w:r>
      <w:r w:rsidR="0089395B">
        <w:t xml:space="preserve">some </w:t>
      </w:r>
      <w:r w:rsidRPr="00B2646F">
        <w:t xml:space="preserve">students incorrectly </w:t>
      </w:r>
      <w:r w:rsidR="0089395B" w:rsidRPr="0089395B">
        <w:t xml:space="preserve">interpreted </w:t>
      </w:r>
      <w:r w:rsidRPr="00B2646F">
        <w:t xml:space="preserve">the ‘more than </w:t>
      </w:r>
      <m:oMath>
        <m:r>
          <m:rPr>
            <m:sty m:val="p"/>
          </m:rPr>
          <w:rPr>
            <w:rFonts w:ascii="Cambria Math" w:hAnsi="Cambria Math"/>
          </w:rPr>
          <m:t>400</m:t>
        </m:r>
      </m:oMath>
      <w:r w:rsidRPr="00B2646F">
        <w:t xml:space="preserve">’ </w:t>
      </w:r>
      <w:r w:rsidR="0089395B">
        <w:t xml:space="preserve">as </w:t>
      </w:r>
      <w:r w:rsidRPr="00B2646F">
        <w:t xml:space="preserve">‘more than or equal to </w:t>
      </w:r>
      <m:oMath>
        <m:r>
          <m:rPr>
            <m:sty m:val="p"/>
          </m:rPr>
          <w:rPr>
            <w:rFonts w:ascii="Cambria Math" w:hAnsi="Cambria Math"/>
          </w:rPr>
          <m:t>401</m:t>
        </m:r>
      </m:oMath>
      <w:r w:rsidRPr="00B2646F">
        <w:t xml:space="preserve">’.  </w:t>
      </w:r>
    </w:p>
    <w:p w14:paraId="7921E43C" w14:textId="026F84D5" w:rsidR="00B2646F" w:rsidRPr="00B2646F" w:rsidRDefault="00B2646F" w:rsidP="00630D9F">
      <w:pPr>
        <w:pStyle w:val="SAABullets"/>
        <w:numPr>
          <w:ilvl w:val="0"/>
          <w:numId w:val="0"/>
        </w:numPr>
        <w:ind w:left="357"/>
      </w:pPr>
      <w:r w:rsidRPr="00B2646F">
        <w:t>It</w:t>
      </w:r>
      <w:r w:rsidR="00C35AF9">
        <w:t xml:space="preserve"> i</w:t>
      </w:r>
      <w:r w:rsidRPr="00B2646F">
        <w:t>s worth noting that if a student made this error throughout the question, they were only penalised once</w:t>
      </w:r>
    </w:p>
    <w:p w14:paraId="243DBB00" w14:textId="0089311A" w:rsidR="00B2646F" w:rsidRPr="00B2646F" w:rsidRDefault="00B2646F" w:rsidP="00B2646F">
      <w:pPr>
        <w:pStyle w:val="SAABullets"/>
      </w:pPr>
      <w:r w:rsidRPr="00B2646F">
        <w:t>did not take note of the instruction to use the ‘standard normal distribution’ in part (b) in finding the standard deviation</w:t>
      </w:r>
      <w:r w:rsidR="008F09F3" w:rsidRPr="00B2646F">
        <w:t xml:space="preserve">. </w:t>
      </w:r>
      <w:r w:rsidRPr="00B2646F">
        <w:t>Some students chose to incorrectly implement a trial-and-error approach which did not address this instruction, resulting in a loss of marks</w:t>
      </w:r>
    </w:p>
    <w:p w14:paraId="6F3BA35F" w14:textId="39652D2A" w:rsidR="001F5886" w:rsidRDefault="00B2646F" w:rsidP="0089395B">
      <w:pPr>
        <w:pStyle w:val="SAABullets"/>
        <w:rPr>
          <w:rFonts w:eastAsiaTheme="minorEastAsia"/>
        </w:rPr>
      </w:pPr>
      <w:r>
        <w:t xml:space="preserve">incorrectly left off the negative sign in the calculated </w:t>
      </w:r>
      <m:oMath>
        <m:r>
          <w:rPr>
            <w:rFonts w:ascii="Cambria Math" w:hAnsi="Cambria Math"/>
          </w:rPr>
          <m:t>z</m:t>
        </m:r>
      </m:oMath>
      <w:r>
        <w:rPr>
          <w:rFonts w:eastAsiaTheme="minorEastAsia"/>
        </w:rPr>
        <w:t xml:space="preserve">-score (i.e. </w:t>
      </w:r>
      <m:oMath>
        <m:r>
          <w:rPr>
            <w:rFonts w:ascii="Cambria Math" w:eastAsiaTheme="minorEastAsia" w:hAnsi="Cambria Math"/>
          </w:rPr>
          <m:t>-2.23</m:t>
        </m:r>
      </m:oMath>
      <w:r>
        <w:rPr>
          <w:rFonts w:eastAsiaTheme="minorEastAsia"/>
        </w:rPr>
        <w:t xml:space="preserve"> vs </w:t>
      </w:r>
      <m:oMath>
        <m:r>
          <w:rPr>
            <w:rFonts w:ascii="Cambria Math" w:eastAsiaTheme="minorEastAsia" w:hAnsi="Cambria Math"/>
          </w:rPr>
          <m:t>2.23</m:t>
        </m:r>
      </m:oMath>
      <w:r>
        <w:rPr>
          <w:rFonts w:eastAsiaTheme="minorEastAsia"/>
        </w:rPr>
        <w:t>) in part (b)</w:t>
      </w:r>
      <w:r w:rsidR="008F09F3">
        <w:rPr>
          <w:rFonts w:eastAsiaTheme="minorEastAsia"/>
        </w:rPr>
        <w:t xml:space="preserve">. </w:t>
      </w:r>
      <w:r>
        <w:rPr>
          <w:rFonts w:eastAsiaTheme="minorEastAsia"/>
        </w:rPr>
        <w:t>This error often had a follow through error in which the standard deviation came out to be a negative number</w:t>
      </w:r>
      <w:r w:rsidR="008F09F3">
        <w:rPr>
          <w:rFonts w:eastAsiaTheme="minorEastAsia"/>
        </w:rPr>
        <w:t xml:space="preserve">. </w:t>
      </w:r>
      <w:r>
        <w:rPr>
          <w:rFonts w:eastAsiaTheme="minorEastAsia"/>
        </w:rPr>
        <w:t xml:space="preserve">As a result of this, many students </w:t>
      </w:r>
      <w:r w:rsidR="0089395B" w:rsidRPr="0089395B">
        <w:rPr>
          <w:rFonts w:eastAsiaTheme="minorEastAsia"/>
        </w:rPr>
        <w:t>attempted to correct the final answer without identifying the source of the error</w:t>
      </w:r>
      <w:r w:rsidR="0089395B">
        <w:rPr>
          <w:rFonts w:eastAsiaTheme="minorEastAsia"/>
        </w:rPr>
        <w:t xml:space="preserve">. </w:t>
      </w:r>
    </w:p>
    <w:p w14:paraId="79828762" w14:textId="77777777" w:rsidR="001F5886" w:rsidRDefault="001F5886">
      <w:pPr>
        <w:rPr>
          <w:rFonts w:eastAsiaTheme="minorEastAsia"/>
          <w:color w:val="000000" w:themeColor="text1"/>
        </w:rPr>
      </w:pPr>
      <w:r>
        <w:rPr>
          <w:rFonts w:eastAsiaTheme="minorEastAsia"/>
        </w:rPr>
        <w:br w:type="page"/>
      </w:r>
    </w:p>
    <w:p w14:paraId="5DF77270" w14:textId="77777777" w:rsidR="00B2646F" w:rsidRDefault="00B2646F" w:rsidP="00B2646F">
      <w:pPr>
        <w:pStyle w:val="SAAQuestion"/>
        <w:rPr>
          <w:rStyle w:val="SAAQuestionsChar"/>
        </w:rPr>
      </w:pPr>
      <w:r>
        <w:rPr>
          <w:rStyle w:val="SAAQuestionsChar"/>
        </w:rPr>
        <w:lastRenderedPageBreak/>
        <w:t>Question 3</w:t>
      </w:r>
    </w:p>
    <w:p w14:paraId="78EE277F" w14:textId="455E9BE2" w:rsidR="00B2646F" w:rsidRPr="00B2646F" w:rsidRDefault="00B2646F" w:rsidP="00B2646F">
      <w:pPr>
        <w:pStyle w:val="SAAbodytext"/>
      </w:pPr>
      <w:r w:rsidRPr="00B2646F">
        <w:t>Much like Question 1, this question contained no context</w:t>
      </w:r>
      <w:r w:rsidR="0089395B">
        <w:t>;</w:t>
      </w:r>
      <w:r w:rsidRPr="00B2646F">
        <w:t xml:space="preserve"> however, it</w:t>
      </w:r>
      <w:r w:rsidR="0089395B">
        <w:t xml:space="preserve"> </w:t>
      </w:r>
      <w:r w:rsidRPr="00B2646F">
        <w:t>involved both differential calculus and integral calculus</w:t>
      </w:r>
      <w:r w:rsidR="008F09F3" w:rsidRPr="00B2646F">
        <w:t xml:space="preserve">. </w:t>
      </w:r>
      <w:r w:rsidRPr="00B2646F">
        <w:t xml:space="preserve">Although largely a purely algebraic question involving a simple routine polynomial, it required students to think about how the values of </w:t>
      </w:r>
      <m:oMath>
        <m:r>
          <w:rPr>
            <w:rFonts w:ascii="Cambria Math" w:hAnsi="Cambria Math"/>
          </w:rPr>
          <m:t>f</m:t>
        </m:r>
        <m:r>
          <m:rPr>
            <m:sty m:val="p"/>
          </m:rPr>
          <w:rPr>
            <w:rFonts w:ascii="Cambria Math" w:hAnsi="Cambria Math"/>
          </w:rPr>
          <m:t>''(</m:t>
        </m:r>
        <m:r>
          <w:rPr>
            <w:rFonts w:ascii="Cambria Math" w:hAnsi="Cambria Math"/>
          </w:rPr>
          <m:t>x</m:t>
        </m:r>
        <m:r>
          <m:rPr>
            <m:sty m:val="p"/>
          </m:rPr>
          <w:rPr>
            <w:rFonts w:ascii="Cambria Math" w:hAnsi="Cambria Math"/>
          </w:rPr>
          <m:t>)</m:t>
        </m:r>
      </m:oMath>
      <w:r w:rsidRPr="00B2646F">
        <w:t xml:space="preserve"> affect the accuracy of the lower and upper estimates of the true area under a function</w:t>
      </w:r>
      <w:r w:rsidR="008F09F3" w:rsidRPr="00B2646F">
        <w:t xml:space="preserve">. </w:t>
      </w:r>
      <w:r w:rsidRPr="00B2646F">
        <w:t>Students generally did well in this question also, with approximately one quarter of students achieving full marks.</w:t>
      </w:r>
    </w:p>
    <w:p w14:paraId="636E3A28" w14:textId="77777777" w:rsidR="00B2646F" w:rsidRDefault="00B2646F" w:rsidP="00B2646F">
      <w:pPr>
        <w:pStyle w:val="SAAmoreless"/>
      </w:pPr>
      <w:r>
        <w:t>The more successful responses commonly:</w:t>
      </w:r>
    </w:p>
    <w:p w14:paraId="16B9F6A9" w14:textId="3F430BD8" w:rsidR="00B2646F" w:rsidRPr="00B2646F" w:rsidRDefault="00B2646F" w:rsidP="00B2646F">
      <w:pPr>
        <w:pStyle w:val="SAABullets"/>
      </w:pPr>
      <w:r w:rsidRPr="00B2646F">
        <w:t xml:space="preserve">correctly drew the upper estimate in part (a) (rather than the </w:t>
      </w:r>
      <w:r w:rsidR="00C35AF9" w:rsidRPr="00B2646F">
        <w:t>underestimate</w:t>
      </w:r>
      <w:r w:rsidRPr="00B2646F">
        <w:t>) using exactly two rectangles</w:t>
      </w:r>
    </w:p>
    <w:p w14:paraId="77387AF9" w14:textId="77777777" w:rsidR="00B2646F" w:rsidRPr="00B2646F" w:rsidRDefault="00B2646F" w:rsidP="00B2646F">
      <w:pPr>
        <w:pStyle w:val="SAABullets"/>
      </w:pPr>
      <w:r w:rsidRPr="00B2646F">
        <w:t xml:space="preserve">correctly found </w:t>
      </w:r>
      <m:oMath>
        <m:r>
          <w:rPr>
            <w:rFonts w:ascii="Cambria Math" w:hAnsi="Cambria Math"/>
          </w:rPr>
          <m:t>f</m:t>
        </m:r>
        <m:r>
          <m:rPr>
            <m:sty m:val="p"/>
          </m:rPr>
          <w:rPr>
            <w:rFonts w:ascii="Cambria Math" w:hAnsi="Cambria Math"/>
          </w:rPr>
          <m:t>'(</m:t>
        </m:r>
        <m:r>
          <w:rPr>
            <w:rFonts w:ascii="Cambria Math" w:hAnsi="Cambria Math"/>
          </w:rPr>
          <m:t>x</m:t>
        </m:r>
        <m:r>
          <m:rPr>
            <m:sty m:val="p"/>
          </m:rPr>
          <w:rPr>
            <w:rFonts w:ascii="Cambria Math" w:hAnsi="Cambria Math"/>
          </w:rPr>
          <m:t>)</m:t>
        </m:r>
      </m:oMath>
      <w:r w:rsidRPr="00B2646F">
        <w:t xml:space="preserve"> and </w:t>
      </w:r>
      <m:oMath>
        <m:r>
          <w:rPr>
            <w:rFonts w:ascii="Cambria Math" w:hAnsi="Cambria Math"/>
          </w:rPr>
          <m:t>f</m:t>
        </m:r>
        <m:r>
          <m:rPr>
            <m:sty m:val="p"/>
          </m:rPr>
          <w:rPr>
            <w:rFonts w:ascii="Cambria Math" w:hAnsi="Cambria Math"/>
          </w:rPr>
          <m:t>''(</m:t>
        </m:r>
        <m:r>
          <w:rPr>
            <w:rFonts w:ascii="Cambria Math" w:hAnsi="Cambria Math"/>
          </w:rPr>
          <m:t>x</m:t>
        </m:r>
        <m:r>
          <m:rPr>
            <m:sty m:val="p"/>
          </m:rPr>
          <w:rPr>
            <w:rFonts w:ascii="Cambria Math" w:hAnsi="Cambria Math"/>
          </w:rPr>
          <m:t>)</m:t>
        </m:r>
      </m:oMath>
      <w:r w:rsidRPr="00B2646F">
        <w:t xml:space="preserve"> in part (c), taking note of the negative in the leading term</w:t>
      </w:r>
    </w:p>
    <w:p w14:paraId="4CD28A88" w14:textId="77777777" w:rsidR="00B2646F" w:rsidRPr="00B2646F" w:rsidRDefault="00B2646F" w:rsidP="00B2646F">
      <w:pPr>
        <w:pStyle w:val="SAABullets"/>
      </w:pPr>
      <w:r w:rsidRPr="00B2646F">
        <w:t xml:space="preserve">used concise language or a quick sketch in part (d)(ii) showing a clear understanding of the link between </w:t>
      </w:r>
      <m:oMath>
        <m:sSup>
          <m:sSupPr>
            <m:ctrlPr>
              <w:rPr>
                <w:rFonts w:ascii="Cambria Math" w:hAnsi="Cambria Math"/>
              </w:rPr>
            </m:ctrlPr>
          </m:sSupPr>
          <m:e>
            <m:r>
              <w:rPr>
                <w:rFonts w:ascii="Cambria Math" w:hAnsi="Cambria Math"/>
              </w:rPr>
              <m:t>f</m:t>
            </m:r>
          </m:e>
          <m:sup>
            <m:r>
              <m:rPr>
                <m:sty m:val="p"/>
              </m:rPr>
              <w:rPr>
                <w:rFonts w:ascii="Cambria Math" w:hAnsi="Cambria Math"/>
              </w:rPr>
              <m:t>''</m:t>
            </m:r>
          </m:sup>
        </m:sSup>
        <m:d>
          <m:dPr>
            <m:ctrlPr>
              <w:rPr>
                <w:rFonts w:ascii="Cambria Math" w:hAnsi="Cambria Math"/>
              </w:rPr>
            </m:ctrlPr>
          </m:dPr>
          <m:e>
            <m:r>
              <w:rPr>
                <w:rFonts w:ascii="Cambria Math" w:hAnsi="Cambria Math"/>
              </w:rPr>
              <m:t>x</m:t>
            </m:r>
          </m:e>
        </m:d>
      </m:oMath>
      <w:r w:rsidRPr="00B2646F">
        <w:t xml:space="preserve"> and the shape of the graph (concave down) when justifying their answer to part (d)(i)</w:t>
      </w:r>
    </w:p>
    <w:p w14:paraId="441968C9" w14:textId="12B2C7A8" w:rsidR="00B2646F" w:rsidRPr="00B2646F" w:rsidRDefault="00B2646F" w:rsidP="0089395B">
      <w:pPr>
        <w:pStyle w:val="SAABullets"/>
      </w:pPr>
      <w:r w:rsidRPr="00B2646F">
        <w:t xml:space="preserve">showed clear and logical steps in finding their answer to part (e), taking note of the negative in the leading term. It’s worth noting that a decimal representation of this area was accepted if given to five significant figures (as </w:t>
      </w:r>
      <w:r w:rsidR="007759FA">
        <w:t xml:space="preserve">this </w:t>
      </w:r>
      <w:r w:rsidR="0089395B">
        <w:t>value is</w:t>
      </w:r>
      <w:r w:rsidRPr="00B2646F">
        <w:t xml:space="preserve"> exact); however, in other situations (for</w:t>
      </w:r>
      <w:r w:rsidR="0089395B">
        <w:t xml:space="preserve"> example,</w:t>
      </w:r>
      <w:r w:rsidRPr="00B2646F">
        <w:t xml:space="preserve"> </w:t>
      </w:r>
      <w:r w:rsidR="0089395B" w:rsidRPr="0089395B">
        <w:t>where the exact value is irrational</w:t>
      </w:r>
      <w:r w:rsidR="0089395B">
        <w:t>)</w:t>
      </w:r>
      <w:r w:rsidRPr="00B2646F">
        <w:t xml:space="preserve"> a decimal representation </w:t>
      </w:r>
      <w:r w:rsidR="0089395B">
        <w:t>would</w:t>
      </w:r>
      <w:r w:rsidR="0089395B" w:rsidRPr="00B2646F">
        <w:t xml:space="preserve"> </w:t>
      </w:r>
      <w:r w:rsidRPr="00B2646F">
        <w:t xml:space="preserve">not achieve the final mark </w:t>
      </w:r>
      <w:r w:rsidR="0089395B">
        <w:t>when</w:t>
      </w:r>
      <w:r w:rsidR="0089395B" w:rsidRPr="00B2646F">
        <w:t xml:space="preserve"> </w:t>
      </w:r>
      <w:r w:rsidRPr="00B2646F">
        <w:t>an exact answer is required.</w:t>
      </w:r>
    </w:p>
    <w:p w14:paraId="2AF2F981" w14:textId="77777777" w:rsidR="00B2646F" w:rsidRDefault="00B2646F" w:rsidP="00B2646F">
      <w:pPr>
        <w:pStyle w:val="SAAmoreless"/>
      </w:pPr>
      <w:r>
        <w:t>The less successful responses commonly:</w:t>
      </w:r>
    </w:p>
    <w:p w14:paraId="465A850E" w14:textId="77777777" w:rsidR="00B2646F" w:rsidRPr="00B2646F" w:rsidRDefault="00B2646F" w:rsidP="0052389F">
      <w:pPr>
        <w:pStyle w:val="SAABullet"/>
      </w:pPr>
      <w:r w:rsidRPr="00B2646F">
        <w:t>drew both the upper and lower rectangles in part (a) (perhaps when attempting to verify their answer to part (d)(</w:t>
      </w:r>
      <w:proofErr w:type="spellStart"/>
      <w:r w:rsidRPr="00B2646F">
        <w:t>i</w:t>
      </w:r>
      <w:proofErr w:type="spellEnd"/>
      <w:r w:rsidRPr="00B2646F">
        <w:t>))</w:t>
      </w:r>
    </w:p>
    <w:p w14:paraId="19AF56F6" w14:textId="77777777" w:rsidR="00B2646F" w:rsidRPr="00B2646F" w:rsidRDefault="00B2646F" w:rsidP="0052389F">
      <w:pPr>
        <w:pStyle w:val="SAABullet"/>
      </w:pPr>
      <w:r w:rsidRPr="00B2646F">
        <w:t xml:space="preserve">only drew the parts of the rectangles above the function </w:t>
      </w:r>
      <m:oMath>
        <m:r>
          <w:rPr>
            <w:rFonts w:ascii="Cambria Math" w:hAnsi="Cambria Math"/>
          </w:rPr>
          <m:t>f</m:t>
        </m:r>
        <m:r>
          <m:rPr>
            <m:sty m:val="p"/>
          </m:rPr>
          <w:rPr>
            <w:rFonts w:ascii="Cambria Math" w:hAnsi="Cambria Math"/>
          </w:rPr>
          <m:t>(</m:t>
        </m:r>
        <m:r>
          <w:rPr>
            <w:rFonts w:ascii="Cambria Math" w:hAnsi="Cambria Math"/>
          </w:rPr>
          <m:t>x</m:t>
        </m:r>
        <m:r>
          <m:rPr>
            <m:sty m:val="p"/>
          </m:rPr>
          <w:rPr>
            <w:rFonts w:ascii="Cambria Math" w:hAnsi="Cambria Math"/>
          </w:rPr>
          <m:t>)</m:t>
        </m:r>
      </m:oMath>
      <w:r w:rsidRPr="00B2646F">
        <w:t xml:space="preserve"> in part (a) (i.e. no lines below the function at all)</w:t>
      </w:r>
    </w:p>
    <w:p w14:paraId="76A7CBEB" w14:textId="77777777" w:rsidR="00B2646F" w:rsidRPr="00B2646F" w:rsidRDefault="00B2646F" w:rsidP="0052389F">
      <w:pPr>
        <w:pStyle w:val="SAABullet"/>
      </w:pPr>
      <w:r w:rsidRPr="00B2646F">
        <w:t xml:space="preserve">incorrectly calculated the area of the two rectangles required to find </w:t>
      </w:r>
      <m:oMath>
        <m:sSub>
          <m:sSubPr>
            <m:ctrlPr>
              <w:rPr>
                <w:rFonts w:ascii="Cambria Math" w:hAnsi="Cambria Math"/>
              </w:rPr>
            </m:ctrlPr>
          </m:sSubPr>
          <m:e>
            <m:r>
              <w:rPr>
                <w:rFonts w:ascii="Cambria Math" w:hAnsi="Cambria Math"/>
              </w:rPr>
              <m:t>U</m:t>
            </m:r>
          </m:e>
          <m:sub>
            <m:r>
              <m:rPr>
                <m:sty m:val="p"/>
              </m:rPr>
              <w:rPr>
                <w:rFonts w:ascii="Cambria Math" w:hAnsi="Cambria Math"/>
              </w:rPr>
              <m:t>2</m:t>
            </m:r>
          </m:sub>
        </m:sSub>
      </m:oMath>
      <w:r w:rsidRPr="00B2646F">
        <w:t xml:space="preserve"> in part (b). Some common errors included:</w:t>
      </w:r>
    </w:p>
    <w:p w14:paraId="1E46EB30" w14:textId="3022CE96" w:rsidR="00B2646F" w:rsidRPr="00B2646F" w:rsidRDefault="00B2646F" w:rsidP="00B2646F">
      <w:pPr>
        <w:pStyle w:val="SAABullet2"/>
      </w:pPr>
      <w:r w:rsidRPr="00B2646F">
        <w:t xml:space="preserve">using the incorrect </w:t>
      </w:r>
      <m:oMath>
        <m:r>
          <w:rPr>
            <w:rFonts w:ascii="Cambria Math" w:hAnsi="Cambria Math"/>
          </w:rPr>
          <m:t>x</m:t>
        </m:r>
      </m:oMath>
      <w:r w:rsidRPr="00B2646F">
        <w:t xml:space="preserve"> values to find the height of each rectangle</w:t>
      </w:r>
      <w:r w:rsidR="008F09F3" w:rsidRPr="00B2646F">
        <w:t xml:space="preserve">. </w:t>
      </w:r>
      <w:r w:rsidRPr="00B2646F">
        <w:t xml:space="preserve">A common error was to use </w:t>
      </w:r>
      <m:oMath>
        <m:r>
          <w:rPr>
            <w:rFonts w:ascii="Cambria Math" w:hAnsi="Cambria Math"/>
          </w:rPr>
          <m:t>f</m:t>
        </m:r>
        <m:r>
          <m:rPr>
            <m:sty m:val="p"/>
          </m:rPr>
          <w:rPr>
            <w:rFonts w:ascii="Cambria Math" w:hAnsi="Cambria Math"/>
          </w:rPr>
          <m:t>(0.5)</m:t>
        </m:r>
      </m:oMath>
      <w:r w:rsidRPr="00B2646F">
        <w:t xml:space="preserve"> and </w:t>
      </w:r>
      <m:oMath>
        <m:r>
          <w:rPr>
            <w:rFonts w:ascii="Cambria Math" w:hAnsi="Cambria Math"/>
          </w:rPr>
          <m:t>f</m:t>
        </m:r>
        <m:r>
          <m:rPr>
            <m:sty m:val="p"/>
          </m:rPr>
          <w:rPr>
            <w:rFonts w:ascii="Cambria Math" w:hAnsi="Cambria Math"/>
          </w:rPr>
          <m:t>(1)</m:t>
        </m:r>
      </m:oMath>
      <w:r w:rsidRPr="00B2646F">
        <w:t xml:space="preserve"> which calculated the </w:t>
      </w:r>
      <w:r w:rsidR="008F09F3" w:rsidRPr="00B2646F">
        <w:t>underestimate</w:t>
      </w:r>
      <w:r w:rsidRPr="00B2646F">
        <w:t xml:space="preserve"> (this error was often present even when the correct rectangles were drawn in part (a))</w:t>
      </w:r>
      <w:r w:rsidR="008F09F3" w:rsidRPr="00B2646F">
        <w:t xml:space="preserve">. </w:t>
      </w:r>
      <w:r w:rsidRPr="00B2646F">
        <w:t xml:space="preserve">Additionally, some students incorrectly used </w:t>
      </w:r>
      <m:oMath>
        <m:r>
          <w:rPr>
            <w:rFonts w:ascii="Cambria Math" w:hAnsi="Cambria Math"/>
          </w:rPr>
          <m:t>f</m:t>
        </m:r>
        <m:r>
          <m:rPr>
            <m:sty m:val="p"/>
          </m:rPr>
          <w:rPr>
            <w:rFonts w:ascii="Cambria Math" w:hAnsi="Cambria Math"/>
          </w:rPr>
          <m:t>(0)</m:t>
        </m:r>
      </m:oMath>
      <w:r w:rsidRPr="00B2646F">
        <w:t xml:space="preserve"> and </w:t>
      </w:r>
      <m:oMath>
        <m:r>
          <w:rPr>
            <w:rFonts w:ascii="Cambria Math" w:hAnsi="Cambria Math"/>
          </w:rPr>
          <m:t>f</m:t>
        </m:r>
        <m:d>
          <m:dPr>
            <m:ctrlPr>
              <w:rPr>
                <w:rFonts w:ascii="Cambria Math" w:hAnsi="Cambria Math"/>
              </w:rPr>
            </m:ctrlPr>
          </m:dPr>
          <m:e>
            <m:r>
              <m:rPr>
                <m:sty m:val="p"/>
              </m:rPr>
              <w:rPr>
                <w:rFonts w:ascii="Cambria Math" w:hAnsi="Cambria Math"/>
              </w:rPr>
              <m:t>1</m:t>
            </m:r>
          </m:e>
        </m:d>
      </m:oMath>
    </w:p>
    <w:p w14:paraId="21B94ACF" w14:textId="3474C6A7" w:rsidR="00B2646F" w:rsidRPr="00B2646F" w:rsidRDefault="00B2646F" w:rsidP="00B2646F">
      <w:pPr>
        <w:pStyle w:val="SAABullet2"/>
      </w:pPr>
      <w:r w:rsidRPr="00B2646F">
        <w:t xml:space="preserve">attempting to approximate the height of the rectangles </w:t>
      </w:r>
      <w:r w:rsidR="007759FA">
        <w:t>using</w:t>
      </w:r>
      <w:r w:rsidR="007759FA" w:rsidRPr="00B2646F">
        <w:t xml:space="preserve"> </w:t>
      </w:r>
      <w:r w:rsidRPr="00B2646F">
        <w:t>the graph in Figure 1</w:t>
      </w:r>
    </w:p>
    <w:p w14:paraId="5C77ADC8" w14:textId="1B5A6B96" w:rsidR="00B2646F" w:rsidRPr="00B2646F" w:rsidRDefault="00B2646F" w:rsidP="00B2646F">
      <w:pPr>
        <w:pStyle w:val="SAABullet2"/>
      </w:pPr>
      <w:r w:rsidRPr="00B2646F">
        <w:t xml:space="preserve">did not </w:t>
      </w:r>
      <w:proofErr w:type="gramStart"/>
      <w:r w:rsidRPr="00B2646F">
        <w:t>take into account</w:t>
      </w:r>
      <w:proofErr w:type="gramEnd"/>
      <w:r w:rsidRPr="00B2646F">
        <w:t xml:space="preserve"> the width of each rectangle being </w:t>
      </w:r>
      <m:oMath>
        <m:r>
          <m:rPr>
            <m:sty m:val="p"/>
          </m:rPr>
          <w:rPr>
            <w:rFonts w:ascii="Cambria Math" w:hAnsi="Cambria Math"/>
          </w:rPr>
          <m:t>0.5</m:t>
        </m:r>
      </m:oMath>
    </w:p>
    <w:p w14:paraId="7652AF8A" w14:textId="192C0A0A" w:rsidR="00B2646F" w:rsidRDefault="00B2646F" w:rsidP="0089395B">
      <w:pPr>
        <w:pStyle w:val="SAABullet"/>
      </w:pPr>
      <w:proofErr w:type="spellStart"/>
      <w:r>
        <w:t>were</w:t>
      </w:r>
      <w:proofErr w:type="spellEnd"/>
      <w:r>
        <w:t xml:space="preserve"> not careful enough in their written responses to part (d)(ii). For example, </w:t>
      </w:r>
      <w:r>
        <w:rPr>
          <w:rFonts w:eastAsiaTheme="minorEastAsia"/>
        </w:rPr>
        <w:t>‘</w:t>
      </w:r>
      <m:oMath>
        <m:r>
          <w:rPr>
            <w:rFonts w:ascii="Cambria Math" w:hAnsi="Cambria Math"/>
          </w:rPr>
          <m:t>f''(x)</m:t>
        </m:r>
      </m:oMath>
      <w:r>
        <w:rPr>
          <w:rFonts w:eastAsiaTheme="minorEastAsia"/>
        </w:rPr>
        <w:t xml:space="preserve"> is decreasing’ is not equivalent to ‘</w:t>
      </w:r>
      <m:oMath>
        <m:sSup>
          <m:sSupPr>
            <m:ctrlPr>
              <w:rPr>
                <w:rFonts w:ascii="Cambria Math" w:eastAsiaTheme="minorEastAsia" w:hAnsi="Cambria Math"/>
                <w:i/>
              </w:rPr>
            </m:ctrlPr>
          </m:sSupPr>
          <m:e>
            <m:r>
              <w:rPr>
                <w:rFonts w:ascii="Cambria Math" w:eastAsiaTheme="minorEastAsia" w:hAnsi="Cambria Math"/>
              </w:rPr>
              <m:t>f</m:t>
            </m:r>
          </m:e>
          <m:sup>
            <m:r>
              <w:rPr>
                <w:rFonts w:ascii="Cambria Math" w:eastAsiaTheme="minorEastAsia" w:hAnsi="Cambria Math"/>
              </w:rPr>
              <m:t>''</m:t>
            </m:r>
          </m:sup>
        </m:sSup>
        <m:d>
          <m:dPr>
            <m:ctrlPr>
              <w:rPr>
                <w:rFonts w:ascii="Cambria Math" w:eastAsiaTheme="minorEastAsia" w:hAnsi="Cambria Math"/>
                <w:i/>
              </w:rPr>
            </m:ctrlPr>
          </m:dPr>
          <m:e>
            <m:r>
              <w:rPr>
                <w:rFonts w:ascii="Cambria Math" w:eastAsiaTheme="minorEastAsia" w:hAnsi="Cambria Math"/>
              </w:rPr>
              <m:t>x</m:t>
            </m:r>
          </m:e>
        </m:d>
      </m:oMath>
      <w:r>
        <w:rPr>
          <w:rFonts w:eastAsiaTheme="minorEastAsia"/>
        </w:rPr>
        <w:t xml:space="preserve"> is negative’.  </w:t>
      </w:r>
    </w:p>
    <w:p w14:paraId="5D2531D3" w14:textId="77777777" w:rsidR="00B2646F" w:rsidRDefault="00B2646F" w:rsidP="0052389F">
      <w:pPr>
        <w:pStyle w:val="SAAQuestion"/>
      </w:pPr>
      <w:r>
        <w:t>Question 4</w:t>
      </w:r>
    </w:p>
    <w:p w14:paraId="76F54CAE" w14:textId="4AA49957" w:rsidR="00B2646F" w:rsidRPr="0052389F" w:rsidRDefault="00B2646F" w:rsidP="00C9387D">
      <w:pPr>
        <w:pStyle w:val="SAAbodytext"/>
      </w:pPr>
      <w:r w:rsidRPr="0052389F">
        <w:t>This question involved both Binomial Distribution and Inferential Statistics within a context of an arcade game involving a cat</w:t>
      </w:r>
      <w:r w:rsidR="008F09F3" w:rsidRPr="0052389F">
        <w:t xml:space="preserve">. </w:t>
      </w:r>
      <w:r w:rsidR="00C9387D">
        <w:t>While</w:t>
      </w:r>
      <w:r w:rsidR="00C9387D" w:rsidRPr="0052389F">
        <w:t xml:space="preserve"> </w:t>
      </w:r>
      <w:r w:rsidRPr="0052389F">
        <w:t xml:space="preserve">most parts of this question were routine, part (a) (iii) </w:t>
      </w:r>
      <w:r w:rsidR="00C9387D" w:rsidRPr="00C9387D">
        <w:t>was unfamiliar in structure and proved challenging for many responses.</w:t>
      </w:r>
      <w:r w:rsidR="008F09F3" w:rsidRPr="0052389F">
        <w:t xml:space="preserve"> </w:t>
      </w:r>
      <w:r w:rsidR="00C9387D" w:rsidRPr="00C9387D">
        <w:t>This year, a decision was made to move away from requiring worded responses when assessing whether a confidence interval supported a claim, as this has been done inconsistently in previous years.</w:t>
      </w:r>
      <w:r w:rsidR="00C9387D">
        <w:t xml:space="preserve"> </w:t>
      </w:r>
      <w:r w:rsidRPr="0052389F">
        <w:t>It was pleasing to see more students gain marks in these questions this year in comparison to past papers</w:t>
      </w:r>
      <w:r w:rsidR="008F09F3" w:rsidRPr="0052389F">
        <w:t xml:space="preserve">. </w:t>
      </w:r>
      <w:r w:rsidRPr="0052389F">
        <w:t xml:space="preserve">Despite the many unfamiliar aspects to this question, students overall performed well with approximately three quarters of </w:t>
      </w:r>
      <w:r w:rsidR="00C9387D">
        <w:t>students</w:t>
      </w:r>
      <w:r w:rsidR="00C9387D" w:rsidRPr="0052389F">
        <w:t xml:space="preserve"> </w:t>
      </w:r>
      <w:r w:rsidRPr="0052389F">
        <w:t>achieving 6 or more marks out of the 9 marks on offer.</w:t>
      </w:r>
    </w:p>
    <w:p w14:paraId="3B8BB808" w14:textId="77777777" w:rsidR="00B2646F" w:rsidRDefault="00B2646F" w:rsidP="0052389F">
      <w:pPr>
        <w:pStyle w:val="SAAmoreless"/>
      </w:pPr>
      <w:r>
        <w:t>The more successful responses commonly:</w:t>
      </w:r>
    </w:p>
    <w:p w14:paraId="7A1FD874" w14:textId="7C27DB4A" w:rsidR="00B2646F" w:rsidRDefault="00B2646F" w:rsidP="00C9387D">
      <w:pPr>
        <w:pStyle w:val="SAABullet"/>
      </w:pPr>
      <w:r>
        <w:t xml:space="preserve">determined the parameters of the Binomial distribution by carefully reading the question (i.e. </w:t>
      </w:r>
      <m:oMath>
        <m:r>
          <w:rPr>
            <w:rFonts w:ascii="Cambria Math" w:hAnsi="Cambria Math"/>
          </w:rPr>
          <m:t>n=5</m:t>
        </m:r>
      </m:oMath>
      <w:r>
        <w:t xml:space="preserve">, </w:t>
      </w:r>
      <m:oMath>
        <m:r>
          <w:rPr>
            <w:rFonts w:ascii="Cambria Math" w:hAnsi="Cambria Math"/>
          </w:rPr>
          <m:t>p=</m:t>
        </m:r>
        <m:f>
          <m:fPr>
            <m:ctrlPr>
              <w:rPr>
                <w:rFonts w:ascii="Cambria Math" w:hAnsi="Cambria Math"/>
                <w:i/>
              </w:rPr>
            </m:ctrlPr>
          </m:fPr>
          <m:num>
            <m:r>
              <w:rPr>
                <w:rFonts w:ascii="Cambria Math" w:hAnsi="Cambria Math"/>
              </w:rPr>
              <m:t>1</m:t>
            </m:r>
          </m:num>
          <m:den>
            <m:r>
              <w:rPr>
                <w:rFonts w:ascii="Cambria Math" w:hAnsi="Cambria Math"/>
              </w:rPr>
              <m:t>4</m:t>
            </m:r>
          </m:den>
        </m:f>
      </m:oMath>
      <w:r>
        <w:t>)</w:t>
      </w:r>
      <w:r w:rsidR="008F09F3">
        <w:t xml:space="preserve">. </w:t>
      </w:r>
      <w:r>
        <w:t xml:space="preserve">These parameters were required </w:t>
      </w:r>
      <w:r w:rsidR="00C9387D" w:rsidRPr="00C9387D">
        <w:t>to demonstrate</w:t>
      </w:r>
      <w:r w:rsidR="008702F4">
        <w:t xml:space="preserve"> </w:t>
      </w:r>
      <w:r>
        <w:t xml:space="preserve">the calculation of the given </w:t>
      </w:r>
      <m:oMath>
        <m:r>
          <w:rPr>
            <w:rFonts w:ascii="Cambria Math" w:hAnsi="Cambria Math"/>
          </w:rPr>
          <m:t>E(X)</m:t>
        </m:r>
      </m:oMath>
      <w:r>
        <w:t xml:space="preserve"> in part (a)(i)</w:t>
      </w:r>
    </w:p>
    <w:p w14:paraId="32BFDA45" w14:textId="77777777" w:rsidR="00B2646F" w:rsidRDefault="00B2646F" w:rsidP="0052389F">
      <w:pPr>
        <w:pStyle w:val="SAABullet"/>
      </w:pPr>
      <w:r>
        <w:t>used their graphics calculator in part (a)(ii), part (a)(iii) and part (b)(ii) to calculate the requested probabilities and confidence interval</w:t>
      </w:r>
    </w:p>
    <w:p w14:paraId="052553EC" w14:textId="5BD4D2F9" w:rsidR="001F5886" w:rsidRDefault="00C9387D" w:rsidP="00C9387D">
      <w:pPr>
        <w:pStyle w:val="SAABullet"/>
      </w:pPr>
      <w:r w:rsidRPr="00C9387D">
        <w:t>demonstrated careful</w:t>
      </w:r>
      <w:r w:rsidR="00B2646F">
        <w:t xml:space="preserve"> reading </w:t>
      </w:r>
      <w:r>
        <w:t xml:space="preserve">of </w:t>
      </w:r>
      <w:r w:rsidR="00B2646F">
        <w:t>the question to hence tick the appropriate boxes in part (b)(iii)(1) and part (b)(iii)(2)</w:t>
      </w:r>
      <w:r w:rsidR="008F09F3">
        <w:t xml:space="preserve">. </w:t>
      </w:r>
      <w:r w:rsidR="00B2646F">
        <w:t>Although the final three options in part (b)(iii)(2) were true, only the second option of the four could be used to support the player’s suspicions.</w:t>
      </w:r>
    </w:p>
    <w:p w14:paraId="0EAE75A6" w14:textId="77777777" w:rsidR="001F5886" w:rsidRDefault="001F5886">
      <w:pPr>
        <w:rPr>
          <w:color w:val="000000" w:themeColor="text1"/>
        </w:rPr>
      </w:pPr>
      <w:r>
        <w:br w:type="page"/>
      </w:r>
    </w:p>
    <w:p w14:paraId="2649C2E6" w14:textId="77777777" w:rsidR="00B2646F" w:rsidRDefault="00B2646F" w:rsidP="0052389F">
      <w:pPr>
        <w:pStyle w:val="SAAmoreless"/>
      </w:pPr>
      <w:r>
        <w:lastRenderedPageBreak/>
        <w:t>The less successful responses commonly:</w:t>
      </w:r>
    </w:p>
    <w:p w14:paraId="76C6C193" w14:textId="2ACA737C" w:rsidR="00B2646F" w:rsidRPr="0052389F" w:rsidRDefault="00B2646F" w:rsidP="0052389F">
      <w:pPr>
        <w:pStyle w:val="SAABullets"/>
      </w:pPr>
      <w:r w:rsidRPr="0052389F">
        <w:t>did not consider the discrete nature of the random variable in part (a)(iii)</w:t>
      </w:r>
      <w:r w:rsidR="008F09F3" w:rsidRPr="0052389F">
        <w:t xml:space="preserve">. </w:t>
      </w:r>
      <w:r w:rsidRPr="0052389F">
        <w:t xml:space="preserve">Using a trial-and-error approach many students determined that </w:t>
      </w:r>
      <m:oMath>
        <m:func>
          <m:funcPr>
            <m:ctrlPr>
              <w:rPr>
                <w:rFonts w:ascii="Cambria Math" w:hAnsi="Cambria Math"/>
              </w:rPr>
            </m:ctrlPr>
          </m:funcPr>
          <m:fName>
            <m:r>
              <m:rPr>
                <m:sty m:val="p"/>
              </m:rPr>
              <w:rPr>
                <w:rFonts w:ascii="Cambria Math" w:hAnsi="Cambria Math"/>
              </w:rPr>
              <m:t>Pr</m:t>
            </m:r>
          </m:fName>
          <m:e>
            <m:d>
              <m:dPr>
                <m:ctrlPr>
                  <w:rPr>
                    <w:rFonts w:ascii="Cambria Math" w:hAnsi="Cambria Math"/>
                  </w:rPr>
                </m:ctrlPr>
              </m:dPr>
              <m:e>
                <m:r>
                  <w:rPr>
                    <w:rFonts w:ascii="Cambria Math" w:hAnsi="Cambria Math"/>
                  </w:rPr>
                  <m:t>X</m:t>
                </m:r>
                <m:r>
                  <m:rPr>
                    <m:sty m:val="p"/>
                  </m:rPr>
                  <w:rPr>
                    <w:rFonts w:ascii="Cambria Math" w:hAnsi="Cambria Math"/>
                  </w:rPr>
                  <m:t>≥3</m:t>
                </m:r>
              </m:e>
            </m:d>
          </m:e>
        </m:func>
        <m:r>
          <m:rPr>
            <m:sty m:val="p"/>
          </m:rPr>
          <w:rPr>
            <w:rFonts w:ascii="Cambria Math" w:hAnsi="Cambria Math"/>
          </w:rPr>
          <m:t>=0.1035</m:t>
        </m:r>
      </m:oMath>
      <w:r w:rsidRPr="0052389F">
        <w:t xml:space="preserve">; however, as the question states ‘more than </w:t>
      </w:r>
      <m:oMath>
        <m:r>
          <w:rPr>
            <w:rFonts w:ascii="Cambria Math" w:hAnsi="Cambria Math"/>
          </w:rPr>
          <m:t>k</m:t>
        </m:r>
      </m:oMath>
      <w:r w:rsidRPr="0052389F">
        <w:t xml:space="preserve">’, this means that </w:t>
      </w:r>
      <m:oMath>
        <m:r>
          <w:rPr>
            <w:rFonts w:ascii="Cambria Math" w:hAnsi="Cambria Math"/>
          </w:rPr>
          <m:t>k</m:t>
        </m:r>
        <m:r>
          <m:rPr>
            <m:sty m:val="p"/>
          </m:rPr>
          <w:rPr>
            <w:rFonts w:ascii="Cambria Math" w:hAnsi="Cambria Math"/>
          </w:rPr>
          <m:t>=2</m:t>
        </m:r>
      </m:oMath>
      <w:r w:rsidR="008F09F3" w:rsidRPr="0052389F">
        <w:t xml:space="preserve">. </w:t>
      </w:r>
      <w:r w:rsidRPr="0052389F">
        <w:t xml:space="preserve">Some students also gave a non-integer number here which is not possible given the nature of the random variable </w:t>
      </w:r>
      <m:oMath>
        <m:r>
          <w:rPr>
            <w:rFonts w:ascii="Cambria Math" w:hAnsi="Cambria Math"/>
          </w:rPr>
          <m:t>X</m:t>
        </m:r>
      </m:oMath>
    </w:p>
    <w:p w14:paraId="41FD244E" w14:textId="445E48C5" w:rsidR="00B2646F" w:rsidRPr="0052389F" w:rsidRDefault="00B2646F" w:rsidP="0052389F">
      <w:pPr>
        <w:pStyle w:val="SAABullets"/>
      </w:pPr>
      <w:r w:rsidRPr="0052389F">
        <w:t xml:space="preserve">attempted to use the ‘Inverse Binomial’ option on their calculator to determine the value of </w:t>
      </w:r>
      <m:oMath>
        <m:r>
          <w:rPr>
            <w:rFonts w:ascii="Cambria Math" w:hAnsi="Cambria Math"/>
          </w:rPr>
          <m:t>k</m:t>
        </m:r>
      </m:oMath>
      <w:r w:rsidRPr="0052389F">
        <w:t xml:space="preserve"> in part (a)(iii)</w:t>
      </w:r>
      <w:r w:rsidR="008F09F3" w:rsidRPr="0052389F">
        <w:t xml:space="preserve">. </w:t>
      </w:r>
      <w:r w:rsidRPr="0052389F">
        <w:t xml:space="preserve">Although it can be used to find the value, students needed to make careful adjustments to what they entered into their graphics calculator, as this menu only finds </w:t>
      </w:r>
      <m:oMath>
        <m:r>
          <w:rPr>
            <w:rFonts w:ascii="Cambria Math" w:hAnsi="Cambria Math"/>
          </w:rPr>
          <m:t>k</m:t>
        </m:r>
      </m:oMath>
      <w:r w:rsidRPr="0052389F">
        <w:t xml:space="preserve"> for </w:t>
      </w:r>
      <m:oMath>
        <m:func>
          <m:funcPr>
            <m:ctrlPr>
              <w:rPr>
                <w:rFonts w:ascii="Cambria Math" w:hAnsi="Cambria Math"/>
              </w:rPr>
            </m:ctrlPr>
          </m:funcPr>
          <m:fName>
            <m:r>
              <m:rPr>
                <m:sty m:val="p"/>
              </m:rPr>
              <w:rPr>
                <w:rFonts w:ascii="Cambria Math" w:hAnsi="Cambria Math"/>
              </w:rPr>
              <m:t>Pr</m:t>
            </m:r>
          </m:fName>
          <m:e>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k</m:t>
                </m:r>
              </m:e>
            </m:d>
          </m:e>
        </m:func>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k</m:t>
            </m:r>
          </m:sub>
        </m:sSub>
      </m:oMath>
      <w:r w:rsidRPr="0052389F">
        <w:t xml:space="preserve">, when given </w:t>
      </w:r>
      <m:oMath>
        <m:sSub>
          <m:sSubPr>
            <m:ctrlPr>
              <w:rPr>
                <w:rFonts w:ascii="Cambria Math" w:hAnsi="Cambria Math"/>
              </w:rPr>
            </m:ctrlPr>
          </m:sSubPr>
          <m:e>
            <m:r>
              <w:rPr>
                <w:rFonts w:ascii="Cambria Math" w:hAnsi="Cambria Math"/>
              </w:rPr>
              <m:t>p</m:t>
            </m:r>
          </m:e>
          <m:sub>
            <m:r>
              <w:rPr>
                <w:rFonts w:ascii="Cambria Math" w:hAnsi="Cambria Math"/>
              </w:rPr>
              <m:t>k</m:t>
            </m:r>
          </m:sub>
        </m:sSub>
      </m:oMath>
      <w:r w:rsidRPr="0052389F">
        <w:t xml:space="preserve"> (the probability of an outcome), </w:t>
      </w:r>
      <m:oMath>
        <m:r>
          <w:rPr>
            <w:rFonts w:ascii="Cambria Math" w:hAnsi="Cambria Math"/>
          </w:rPr>
          <m:t>n</m:t>
        </m:r>
      </m:oMath>
      <w:r w:rsidRPr="0052389F">
        <w:t xml:space="preserve"> (the number of trials), and </w:t>
      </w:r>
      <m:oMath>
        <m:r>
          <w:rPr>
            <w:rFonts w:ascii="Cambria Math" w:hAnsi="Cambria Math"/>
          </w:rPr>
          <m:t>p</m:t>
        </m:r>
      </m:oMath>
      <w:r w:rsidRPr="0052389F">
        <w:t xml:space="preserve"> (the probability of success)</w:t>
      </w:r>
    </w:p>
    <w:p w14:paraId="2766A093" w14:textId="77777777" w:rsidR="00B2646F" w:rsidRPr="0052389F" w:rsidRDefault="00B2646F" w:rsidP="0052389F">
      <w:pPr>
        <w:pStyle w:val="SAABullets"/>
      </w:pPr>
      <w:r w:rsidRPr="0052389F">
        <w:t xml:space="preserve">used incorrect notation in their confidence interval in part (b)(ii) such as </w:t>
      </w:r>
      <m:oMath>
        <m:acc>
          <m:accPr>
            <m:ctrlPr>
              <w:rPr>
                <w:rFonts w:ascii="Cambria Math" w:hAnsi="Cambria Math"/>
              </w:rPr>
            </m:ctrlPr>
          </m:accPr>
          <m:e>
            <m:r>
              <w:rPr>
                <w:rFonts w:ascii="Cambria Math" w:hAnsi="Cambria Math"/>
              </w:rPr>
              <m:t>p</m:t>
            </m:r>
          </m:e>
        </m:acc>
      </m:oMath>
      <w:r w:rsidRPr="0052389F">
        <w:t xml:space="preserve">, </w:t>
      </w:r>
      <m:oMath>
        <m:r>
          <w:rPr>
            <w:rFonts w:ascii="Cambria Math" w:hAnsi="Cambria Math"/>
          </w:rPr>
          <m:t>μ</m:t>
        </m:r>
      </m:oMath>
      <w:r w:rsidRPr="0052389F">
        <w:t xml:space="preserve">, </w:t>
      </w:r>
      <m:oMath>
        <m:r>
          <w:rPr>
            <w:rFonts w:ascii="Cambria Math" w:hAnsi="Cambria Math"/>
          </w:rPr>
          <m:t>x</m:t>
        </m:r>
      </m:oMath>
      <w:r w:rsidRPr="0052389F">
        <w:t xml:space="preserve"> or </w:t>
      </w:r>
      <m:oMath>
        <m:acc>
          <m:accPr>
            <m:chr m:val="̅"/>
            <m:ctrlPr>
              <w:rPr>
                <w:rFonts w:ascii="Cambria Math" w:hAnsi="Cambria Math"/>
              </w:rPr>
            </m:ctrlPr>
          </m:accPr>
          <m:e>
            <m:r>
              <w:rPr>
                <w:rFonts w:ascii="Cambria Math" w:hAnsi="Cambria Math"/>
              </w:rPr>
              <m:t>x</m:t>
            </m:r>
          </m:e>
        </m:acc>
      </m:oMath>
      <w:r w:rsidRPr="0052389F">
        <w:t xml:space="preserve"> rather than the </w:t>
      </w:r>
      <w:r w:rsidRPr="0052389F">
        <w:br/>
        <w:t xml:space="preserve">required </w:t>
      </w:r>
      <m:oMath>
        <m:r>
          <w:rPr>
            <w:rFonts w:ascii="Cambria Math" w:hAnsi="Cambria Math"/>
          </w:rPr>
          <m:t>p</m:t>
        </m:r>
      </m:oMath>
      <w:r w:rsidRPr="0052389F">
        <w:t>.</w:t>
      </w:r>
    </w:p>
    <w:p w14:paraId="272AF1E2" w14:textId="12C2E56F" w:rsidR="00B2646F" w:rsidRDefault="00B2646F" w:rsidP="001F5886">
      <w:pPr>
        <w:pStyle w:val="SAAQuestion"/>
        <w:spacing w:before="120"/>
      </w:pPr>
      <w:r>
        <w:t>Question 5</w:t>
      </w:r>
    </w:p>
    <w:p w14:paraId="358E33B5" w14:textId="3F008913" w:rsidR="00B2646F" w:rsidRPr="0052389F" w:rsidRDefault="00B2646F" w:rsidP="005800B4">
      <w:pPr>
        <w:pStyle w:val="SAAbodytext"/>
      </w:pPr>
      <w:r w:rsidRPr="0052389F">
        <w:t xml:space="preserve">This question </w:t>
      </w:r>
      <w:r w:rsidR="00C9387D" w:rsidRPr="00C9387D">
        <w:t xml:space="preserve">did not </w:t>
      </w:r>
      <w:r w:rsidR="008702F4" w:rsidRPr="00C9387D">
        <w:t>involve</w:t>
      </w:r>
      <w:r w:rsidR="008702F4" w:rsidRPr="0052389F">
        <w:t xml:space="preserve"> algebraic</w:t>
      </w:r>
      <w:r w:rsidRPr="0052389F">
        <w:t xml:space="preserve"> processes. </w:t>
      </w:r>
      <w:r w:rsidR="0052389F" w:rsidRPr="0052389F">
        <w:t>Instead,</w:t>
      </w:r>
      <w:r w:rsidRPr="0052389F">
        <w:t xml:space="preserve"> it focused on using the attributes of given graphs to </w:t>
      </w:r>
      <w:r w:rsidR="00C9387D">
        <w:t>construct</w:t>
      </w:r>
      <w:r w:rsidR="00C9387D" w:rsidRPr="0052389F">
        <w:t xml:space="preserve"> </w:t>
      </w:r>
      <w:r w:rsidRPr="0052389F">
        <w:t>sign diagrams, compare values, and draw sections of various related graphs</w:t>
      </w:r>
      <w:r w:rsidR="008F09F3" w:rsidRPr="0052389F">
        <w:t xml:space="preserve">. </w:t>
      </w:r>
      <w:r w:rsidR="00C9387D">
        <w:t>A key</w:t>
      </w:r>
      <w:r w:rsidR="00C9387D" w:rsidRPr="0052389F">
        <w:t xml:space="preserve"> </w:t>
      </w:r>
      <w:r w:rsidRPr="0052389F">
        <w:t xml:space="preserve">point of difference </w:t>
      </w:r>
      <w:r w:rsidR="00C9387D">
        <w:t>from</w:t>
      </w:r>
      <w:r w:rsidR="00C9387D" w:rsidRPr="0052389F">
        <w:t xml:space="preserve"> </w:t>
      </w:r>
      <w:r w:rsidRPr="0052389F">
        <w:t xml:space="preserve">many past exams was that the supplied function was </w:t>
      </w:r>
      <m:oMath>
        <m:r>
          <w:rPr>
            <w:rFonts w:ascii="Cambria Math" w:hAnsi="Cambria Math"/>
          </w:rPr>
          <m:t>f</m:t>
        </m:r>
        <m:r>
          <m:rPr>
            <m:sty m:val="p"/>
          </m:rPr>
          <w:rPr>
            <w:rFonts w:ascii="Cambria Math" w:hAnsi="Cambria Math"/>
          </w:rPr>
          <m:t>'(</m:t>
        </m:r>
        <m:r>
          <w:rPr>
            <w:rFonts w:ascii="Cambria Math" w:hAnsi="Cambria Math"/>
          </w:rPr>
          <m:t>x</m:t>
        </m:r>
        <m:r>
          <m:rPr>
            <m:sty m:val="p"/>
          </m:rPr>
          <w:rPr>
            <w:rFonts w:ascii="Cambria Math" w:hAnsi="Cambria Math"/>
          </w:rPr>
          <m:t>)</m:t>
        </m:r>
      </m:oMath>
      <w:r w:rsidRPr="0052389F">
        <w:t xml:space="preserve">, rather than the usual </w:t>
      </w:r>
      <m:oMath>
        <m:r>
          <w:rPr>
            <w:rFonts w:ascii="Cambria Math" w:hAnsi="Cambria Math"/>
          </w:rPr>
          <m:t>f</m:t>
        </m:r>
        <m:r>
          <m:rPr>
            <m:sty m:val="p"/>
          </m:rPr>
          <w:rPr>
            <w:rFonts w:ascii="Cambria Math" w:hAnsi="Cambria Math"/>
          </w:rPr>
          <m:t>(</m:t>
        </m:r>
        <m:r>
          <w:rPr>
            <w:rFonts w:ascii="Cambria Math" w:hAnsi="Cambria Math"/>
          </w:rPr>
          <m:t>x</m:t>
        </m:r>
        <m:r>
          <m:rPr>
            <m:sty m:val="p"/>
          </m:rPr>
          <w:rPr>
            <w:rFonts w:ascii="Cambria Math" w:hAnsi="Cambria Math"/>
          </w:rPr>
          <m:t>)</m:t>
        </m:r>
      </m:oMath>
      <w:r w:rsidRPr="0052389F">
        <w:t xml:space="preserve">, </w:t>
      </w:r>
      <w:r w:rsidR="005800B4" w:rsidRPr="005800B4">
        <w:t xml:space="preserve">requiring responses </w:t>
      </w:r>
      <w:r w:rsidRPr="0052389F">
        <w:t xml:space="preserve">to draw sections of both </w:t>
      </w:r>
      <m:oMath>
        <m:r>
          <w:rPr>
            <w:rFonts w:ascii="Cambria Math" w:hAnsi="Cambria Math"/>
          </w:rPr>
          <m:t>f</m:t>
        </m:r>
        <m:r>
          <m:rPr>
            <m:sty m:val="p"/>
          </m:rPr>
          <w:rPr>
            <w:rFonts w:ascii="Cambria Math" w:hAnsi="Cambria Math"/>
          </w:rPr>
          <m:t>(</m:t>
        </m:r>
        <m:r>
          <w:rPr>
            <w:rFonts w:ascii="Cambria Math" w:hAnsi="Cambria Math"/>
          </w:rPr>
          <m:t>x</m:t>
        </m:r>
        <m:r>
          <m:rPr>
            <m:sty m:val="p"/>
          </m:rPr>
          <w:rPr>
            <w:rFonts w:ascii="Cambria Math" w:hAnsi="Cambria Math"/>
          </w:rPr>
          <m:t>)</m:t>
        </m:r>
      </m:oMath>
      <w:r w:rsidRPr="0052389F">
        <w:t xml:space="preserve"> and </w:t>
      </w:r>
      <m:oMath>
        <m:r>
          <w:rPr>
            <w:rFonts w:ascii="Cambria Math" w:hAnsi="Cambria Math"/>
          </w:rPr>
          <m:t>f</m:t>
        </m:r>
        <m:r>
          <m:rPr>
            <m:sty m:val="p"/>
          </m:rPr>
          <w:rPr>
            <w:rFonts w:ascii="Cambria Math" w:hAnsi="Cambria Math"/>
          </w:rPr>
          <m:t>''(</m:t>
        </m:r>
        <m:r>
          <w:rPr>
            <w:rFonts w:ascii="Cambria Math" w:hAnsi="Cambria Math"/>
          </w:rPr>
          <m:t>x</m:t>
        </m:r>
        <m:r>
          <m:rPr>
            <m:sty m:val="p"/>
          </m:rPr>
          <w:rPr>
            <w:rFonts w:ascii="Cambria Math" w:hAnsi="Cambria Math"/>
          </w:rPr>
          <m:t>)</m:t>
        </m:r>
      </m:oMath>
      <w:r w:rsidR="008F09F3" w:rsidRPr="0052389F">
        <w:t xml:space="preserve">. </w:t>
      </w:r>
      <w:r w:rsidRPr="0052389F">
        <w:t>The earlier parts of the question were well attempted by students; however, as with past exams students continue to find it challenging to draw functions when not given an equation. As a result of this and other errors, only approximately 15% of students achieved full marks for this question.</w:t>
      </w:r>
    </w:p>
    <w:p w14:paraId="2B6280F8" w14:textId="77777777" w:rsidR="00B2646F" w:rsidRDefault="00B2646F" w:rsidP="001F5886">
      <w:pPr>
        <w:pStyle w:val="SAAmoreless"/>
        <w:spacing w:after="60"/>
      </w:pPr>
      <w:r>
        <w:t>The more successful responses commonly:</w:t>
      </w:r>
    </w:p>
    <w:p w14:paraId="7CFA783E" w14:textId="74FDF4C8" w:rsidR="00B2646F" w:rsidRPr="007E3102" w:rsidRDefault="00B2646F" w:rsidP="001F5886">
      <w:pPr>
        <w:pStyle w:val="SAABullet"/>
        <w:spacing w:before="0"/>
      </w:pPr>
      <w:r w:rsidRPr="007E3102">
        <w:t>correctly allocated the signs to the sign diagram in part (a)</w:t>
      </w:r>
    </w:p>
    <w:p w14:paraId="2FE3CDAC" w14:textId="53405487" w:rsidR="00B2646F" w:rsidRPr="007E3102" w:rsidRDefault="00B2646F" w:rsidP="005800B4">
      <w:pPr>
        <w:pStyle w:val="SAABullet"/>
      </w:pPr>
      <w:r w:rsidRPr="007E3102">
        <w:t xml:space="preserve">correctly </w:t>
      </w:r>
      <w:r w:rsidR="005800B4">
        <w:t>stated</w:t>
      </w:r>
      <w:r w:rsidR="005800B4" w:rsidRPr="007E3102">
        <w:t xml:space="preserve"> </w:t>
      </w:r>
      <w:r w:rsidRPr="007E3102">
        <w:t xml:space="preserve">the domain for </w:t>
      </w:r>
      <m:oMath>
        <m:r>
          <w:rPr>
            <w:rFonts w:ascii="Cambria Math" w:hAnsi="Cambria Math"/>
          </w:rPr>
          <m:t>x</m:t>
        </m:r>
      </m:oMath>
      <w:r w:rsidRPr="007E3102">
        <w:t xml:space="preserve"> using inequalities in part (b)</w:t>
      </w:r>
      <w:r w:rsidR="008F09F3" w:rsidRPr="007E3102">
        <w:t xml:space="preserve">. </w:t>
      </w:r>
      <w:r w:rsidRPr="007E3102">
        <w:t xml:space="preserve">Markers were lenient in this question, with no </w:t>
      </w:r>
      <w:r w:rsidR="005800B4" w:rsidRPr="005800B4">
        <w:t>distinction made between the use of</w:t>
      </w:r>
      <w:r w:rsidR="005800B4">
        <w:t xml:space="preserve"> </w:t>
      </w:r>
      <m:oMath>
        <m:r>
          <m:rPr>
            <m:sty m:val="p"/>
          </m:rPr>
          <w:rPr>
            <w:rFonts w:ascii="Cambria Math" w:hAnsi="Cambria Math"/>
          </w:rPr>
          <m:t>&lt;</m:t>
        </m:r>
      </m:oMath>
      <w:r w:rsidRPr="007E3102">
        <w:t xml:space="preserve"> and </w:t>
      </w:r>
      <m:oMath>
        <m:r>
          <m:rPr>
            <m:sty m:val="p"/>
          </m:rPr>
          <w:rPr>
            <w:rFonts w:ascii="Cambria Math" w:hAnsi="Cambria Math"/>
          </w:rPr>
          <m:t>≤</m:t>
        </m:r>
      </m:oMath>
      <w:r w:rsidRPr="007E3102">
        <w:t xml:space="preserve">, </w:t>
      </w:r>
      <w:r w:rsidR="0059754A">
        <w:t xml:space="preserve">and the </w:t>
      </w:r>
      <w:r w:rsidR="00BC5027">
        <w:t>ex</w:t>
      </w:r>
      <w:r w:rsidR="0059754A">
        <w:t xml:space="preserve">clusion of the </w:t>
      </w:r>
      <w:r w:rsidRPr="007E3102">
        <w:t xml:space="preserve">upper limit of </w:t>
      </w:r>
      <m:oMath>
        <m:r>
          <w:rPr>
            <w:rFonts w:ascii="Cambria Math" w:hAnsi="Cambria Math"/>
          </w:rPr>
          <m:t>x</m:t>
        </m:r>
        <m:r>
          <m:rPr>
            <m:sty m:val="p"/>
          </m:rPr>
          <w:rPr>
            <w:rFonts w:ascii="Cambria Math" w:hAnsi="Cambria Math"/>
          </w:rPr>
          <m:t>=3</m:t>
        </m:r>
      </m:oMath>
      <w:r w:rsidR="0059754A">
        <w:rPr>
          <w:rFonts w:eastAsiaTheme="minorEastAsia"/>
        </w:rPr>
        <w:t xml:space="preserve"> wa</w:t>
      </w:r>
      <w:r w:rsidR="00BC5027">
        <w:rPr>
          <w:rFonts w:eastAsiaTheme="minorEastAsia"/>
        </w:rPr>
        <w:t>s ignored</w:t>
      </w:r>
      <w:r w:rsidR="008F09F3" w:rsidRPr="007E3102">
        <w:t xml:space="preserve">. </w:t>
      </w:r>
      <w:r w:rsidRPr="007E3102">
        <w:t>For example, the following answers were all accepted as correct (just to name a few):</w:t>
      </w:r>
    </w:p>
    <w:p w14:paraId="51560FBB" w14:textId="77777777" w:rsidR="00B2646F" w:rsidRDefault="00B2646F" w:rsidP="007E3102">
      <w:pPr>
        <w:pStyle w:val="SAABullet2"/>
      </w:pPr>
      <w:r>
        <w:t xml:space="preserve"> </w:t>
      </w:r>
      <m:oMath>
        <m:r>
          <w:rPr>
            <w:rFonts w:ascii="Cambria Math" w:hAnsi="Cambria Math"/>
          </w:rPr>
          <m:t>1≤x≤3</m:t>
        </m:r>
      </m:oMath>
      <w:r>
        <w:t xml:space="preserve"> (the most formally correct answer)</w:t>
      </w:r>
    </w:p>
    <w:p w14:paraId="6DA66760" w14:textId="77777777" w:rsidR="00B2646F" w:rsidRDefault="00B2646F" w:rsidP="007E3102">
      <w:pPr>
        <w:pStyle w:val="SAABullet2"/>
      </w:pPr>
      <m:oMath>
        <m:r>
          <w:rPr>
            <w:rFonts w:ascii="Cambria Math" w:hAnsi="Cambria Math"/>
          </w:rPr>
          <m:t xml:space="preserve">1&lt;x&lt;2 </m:t>
        </m:r>
      </m:oMath>
      <w:r>
        <w:t xml:space="preserve">and </w:t>
      </w:r>
      <m:oMath>
        <m:r>
          <w:rPr>
            <w:rFonts w:ascii="Cambria Math" w:hAnsi="Cambria Math"/>
          </w:rPr>
          <m:t>2&lt;x≤3</m:t>
        </m:r>
      </m:oMath>
    </w:p>
    <w:p w14:paraId="23D8C40A" w14:textId="77777777" w:rsidR="00B2646F" w:rsidRDefault="00B2646F" w:rsidP="007E3102">
      <w:pPr>
        <w:pStyle w:val="SAABullet2"/>
      </w:pPr>
      <m:oMath>
        <m:r>
          <w:rPr>
            <w:rFonts w:ascii="Cambria Math" w:hAnsi="Cambria Math"/>
          </w:rPr>
          <m:t>x≥1</m:t>
        </m:r>
      </m:oMath>
    </w:p>
    <w:p w14:paraId="4DE57857" w14:textId="5BDCE018" w:rsidR="00B2646F" w:rsidRDefault="005800B4" w:rsidP="005800B4">
      <w:pPr>
        <w:pStyle w:val="SAABullet"/>
      </w:pPr>
      <w:r w:rsidRPr="005800B4">
        <w:t>recognised that</w:t>
      </w:r>
      <w:r w:rsidR="00BC5027">
        <w:rPr>
          <w:rFonts w:eastAsiaTheme="minorEastAsia"/>
        </w:rPr>
        <w:t xml:space="preserve"> </w:t>
      </w:r>
      <m:oMath>
        <m:r>
          <w:rPr>
            <w:rFonts w:ascii="Cambria Math" w:hAnsi="Cambria Math"/>
          </w:rPr>
          <m:t>f'(x)</m:t>
        </m:r>
      </m:oMath>
      <w:r w:rsidR="00B2646F">
        <w:t xml:space="preserve"> </w:t>
      </w:r>
      <w:r w:rsidRPr="005800B4">
        <w:t>was negative</w:t>
      </w:r>
      <w:r>
        <w:t xml:space="preserve"> between </w:t>
      </w:r>
      <m:oMath>
        <m:r>
          <w:rPr>
            <w:rFonts w:ascii="Cambria Math" w:hAnsi="Cambria Math"/>
          </w:rPr>
          <m:t>x=0</m:t>
        </m:r>
      </m:oMath>
      <w:r w:rsidR="00B2646F">
        <w:rPr>
          <w:rFonts w:eastAsiaTheme="minorEastAsia"/>
        </w:rPr>
        <w:t xml:space="preserve"> </w:t>
      </w:r>
      <w:r>
        <w:rPr>
          <w:rFonts w:eastAsiaTheme="minorEastAsia"/>
        </w:rPr>
        <w:t xml:space="preserve">and </w:t>
      </w:r>
      <m:oMath>
        <m:r>
          <w:rPr>
            <w:rFonts w:ascii="Cambria Math" w:eastAsiaTheme="minorEastAsia" w:hAnsi="Cambria Math"/>
          </w:rPr>
          <m:t>x=1</m:t>
        </m:r>
      </m:oMath>
      <w:r w:rsidR="00B2646F">
        <w:rPr>
          <w:rFonts w:eastAsiaTheme="minorEastAsia"/>
        </w:rPr>
        <w:t xml:space="preserve"> </w:t>
      </w:r>
      <w:proofErr w:type="spellStart"/>
      <w:r w:rsidRPr="005800B4">
        <w:rPr>
          <w:rFonts w:eastAsiaTheme="minorEastAsia"/>
        </w:rPr>
        <w:t>and</w:t>
      </w:r>
      <w:proofErr w:type="spellEnd"/>
      <w:r w:rsidRPr="005800B4">
        <w:rPr>
          <w:rFonts w:eastAsiaTheme="minorEastAsia"/>
        </w:rPr>
        <w:t xml:space="preserve"> selected the correct </w:t>
      </w:r>
      <w:r w:rsidR="008702F4" w:rsidRPr="005800B4">
        <w:rPr>
          <w:rFonts w:eastAsiaTheme="minorEastAsia"/>
        </w:rPr>
        <w:t>option</w:t>
      </w:r>
      <w:r w:rsidR="008702F4">
        <w:rPr>
          <w:rFonts w:eastAsiaTheme="minorEastAsia"/>
        </w:rPr>
        <w:t xml:space="preserve"> in</w:t>
      </w:r>
      <w:r w:rsidR="00B2646F">
        <w:rPr>
          <w:rFonts w:eastAsiaTheme="minorEastAsia"/>
        </w:rPr>
        <w:t xml:space="preserve"> part (c).</w:t>
      </w:r>
    </w:p>
    <w:p w14:paraId="693950B5" w14:textId="77777777" w:rsidR="00B2646F" w:rsidRDefault="00B2646F" w:rsidP="001F5886">
      <w:pPr>
        <w:pStyle w:val="SAAmoreless"/>
        <w:spacing w:after="60"/>
      </w:pPr>
      <w:r>
        <w:t>The less successful responses commonly:</w:t>
      </w:r>
    </w:p>
    <w:p w14:paraId="56DA2DDB" w14:textId="77B32C59" w:rsidR="00B2646F" w:rsidRDefault="005800B4" w:rsidP="001F5886">
      <w:pPr>
        <w:pStyle w:val="SAABullet"/>
        <w:spacing w:before="60"/>
      </w:pPr>
      <w:r w:rsidRPr="005800B4">
        <w:t xml:space="preserve">introduced </w:t>
      </w:r>
      <w:r w:rsidR="00B2646F">
        <w:t xml:space="preserve">additional </w:t>
      </w:r>
      <m:oMath>
        <m:r>
          <w:rPr>
            <w:rFonts w:ascii="Cambria Math" w:hAnsi="Cambria Math"/>
          </w:rPr>
          <m:t>x</m:t>
        </m:r>
      </m:oMath>
      <w:r w:rsidR="00B2646F">
        <w:t>-values to the sign diagram in part (a)</w:t>
      </w:r>
      <w:r w:rsidR="008F09F3">
        <w:t xml:space="preserve">. </w:t>
      </w:r>
    </w:p>
    <w:p w14:paraId="0B1E1F4D" w14:textId="6D8A3DB8" w:rsidR="00B2646F" w:rsidRDefault="00013637" w:rsidP="007E3102">
      <w:pPr>
        <w:pStyle w:val="SAABullet"/>
      </w:pPr>
      <w:r>
        <w:t>s</w:t>
      </w:r>
      <w:r w:rsidR="004B7A53">
        <w:t xml:space="preserve">ketched </w:t>
      </w:r>
      <w:r w:rsidR="00B2646F">
        <w:t xml:space="preserve">a graph for </w:t>
      </w:r>
      <m:oMath>
        <m:r>
          <w:rPr>
            <w:rFonts w:ascii="Cambria Math" w:hAnsi="Cambria Math"/>
          </w:rPr>
          <m:t>f''(x)</m:t>
        </m:r>
      </m:oMath>
      <w:r w:rsidR="00B2646F">
        <w:t xml:space="preserve"> in part (d) with missing critical points or incorrect aspects</w:t>
      </w:r>
      <w:r w:rsidR="008F09F3">
        <w:t xml:space="preserve">. </w:t>
      </w:r>
      <w:r w:rsidR="00B2646F">
        <w:t xml:space="preserve">Some common mistakes </w:t>
      </w:r>
      <w:r w:rsidR="004B7A53">
        <w:t xml:space="preserve">in student’s sketches </w:t>
      </w:r>
      <w:r w:rsidR="00B2646F">
        <w:t>were:</w:t>
      </w:r>
    </w:p>
    <w:p w14:paraId="1DA3804D" w14:textId="77777777" w:rsidR="00B2646F" w:rsidRDefault="00B2646F" w:rsidP="007E3102">
      <w:pPr>
        <w:pStyle w:val="SAABullet2"/>
      </w:pPr>
      <w:r>
        <w:t xml:space="preserve">not connecting the function at </w:t>
      </w:r>
      <m:oMath>
        <m:r>
          <w:rPr>
            <w:rFonts w:ascii="Cambria Math" w:hAnsi="Cambria Math"/>
          </w:rPr>
          <m:t>x=1</m:t>
        </m:r>
      </m:oMath>
      <w:r>
        <w:t xml:space="preserve"> to the existing curve at a local maximum</w:t>
      </w:r>
    </w:p>
    <w:p w14:paraId="247DCDB6" w14:textId="77777777" w:rsidR="00B2646F" w:rsidRDefault="00B2646F" w:rsidP="007E3102">
      <w:pPr>
        <w:pStyle w:val="SAABullet2"/>
      </w:pPr>
      <w:r>
        <w:t>having more than one turning point (not including the left connecting point)</w:t>
      </w:r>
    </w:p>
    <w:p w14:paraId="09497A64" w14:textId="0395F740" w:rsidR="00B2646F" w:rsidRDefault="00B2646F" w:rsidP="007E3102">
      <w:pPr>
        <w:pStyle w:val="SAABullet2"/>
      </w:pPr>
      <w:r>
        <w:t xml:space="preserve">not intersecting the </w:t>
      </w:r>
      <m:oMath>
        <m:r>
          <w:rPr>
            <w:rFonts w:ascii="Cambria Math" w:hAnsi="Cambria Math"/>
          </w:rPr>
          <m:t>x</m:t>
        </m:r>
      </m:oMath>
      <w:r>
        <w:t>-axis at the correct values</w:t>
      </w:r>
      <w:r w:rsidR="008F09F3">
        <w:t xml:space="preserve">. </w:t>
      </w:r>
      <w:r w:rsidR="005800B4">
        <w:t xml:space="preserve">The </w:t>
      </w:r>
      <w:r>
        <w:t xml:space="preserve">two </w:t>
      </w:r>
      <w:r w:rsidR="004B7A53">
        <w:t xml:space="preserve">sketched </w:t>
      </w:r>
      <m:oMath>
        <m:r>
          <w:rPr>
            <w:rFonts w:ascii="Cambria Math" w:hAnsi="Cambria Math"/>
          </w:rPr>
          <m:t>x</m:t>
        </m:r>
      </m:oMath>
      <w:r>
        <w:t xml:space="preserve">-intercepts, allowing for some error, should have been </w:t>
      </w:r>
    </w:p>
    <w:p w14:paraId="62E8F570" w14:textId="77777777" w:rsidR="00B2646F" w:rsidRDefault="00B2646F" w:rsidP="007E3102">
      <w:pPr>
        <w:pStyle w:val="SAABullet3"/>
      </w:pPr>
      <w:r>
        <w:t xml:space="preserve">between (exclusive) </w:t>
      </w:r>
      <m:oMath>
        <m:r>
          <w:rPr>
            <w:rFonts w:ascii="Cambria Math" w:hAnsi="Cambria Math"/>
          </w:rPr>
          <m:t>x=1.4</m:t>
        </m:r>
      </m:oMath>
      <w:r>
        <w:t xml:space="preserve"> and </w:t>
      </w:r>
      <m:oMath>
        <m:r>
          <w:rPr>
            <w:rFonts w:ascii="Cambria Math" w:hAnsi="Cambria Math"/>
          </w:rPr>
          <m:t>x=1.6</m:t>
        </m:r>
      </m:oMath>
      <w:r>
        <w:t xml:space="preserve"> and </w:t>
      </w:r>
    </w:p>
    <w:p w14:paraId="1E1CC2D9" w14:textId="77777777" w:rsidR="00B2646F" w:rsidRDefault="00B2646F" w:rsidP="007E3102">
      <w:pPr>
        <w:pStyle w:val="SAABullet3"/>
      </w:pPr>
      <w:r>
        <w:t xml:space="preserve">closer to </w:t>
      </w:r>
      <m:oMath>
        <m:r>
          <w:rPr>
            <w:rFonts w:ascii="Cambria Math" w:hAnsi="Cambria Math"/>
          </w:rPr>
          <m:t>x=2</m:t>
        </m:r>
      </m:oMath>
      <w:r>
        <w:t xml:space="preserve"> than </w:t>
      </w:r>
      <m:oMath>
        <m:r>
          <w:rPr>
            <w:rFonts w:ascii="Cambria Math" w:hAnsi="Cambria Math"/>
          </w:rPr>
          <m:t>x=1.8</m:t>
        </m:r>
      </m:oMath>
      <w:r>
        <w:t xml:space="preserve"> or </w:t>
      </w:r>
      <m:oMath>
        <m:r>
          <w:rPr>
            <w:rFonts w:ascii="Cambria Math" w:hAnsi="Cambria Math"/>
          </w:rPr>
          <m:t>x=2.2</m:t>
        </m:r>
      </m:oMath>
    </w:p>
    <w:p w14:paraId="506BCDA8" w14:textId="2CA6D2C0" w:rsidR="00B2646F" w:rsidRDefault="008F09F3" w:rsidP="00B2646F">
      <w:pPr>
        <w:pStyle w:val="SAABullets"/>
        <w:numPr>
          <w:ilvl w:val="0"/>
          <w:numId w:val="0"/>
        </w:numPr>
        <w:ind w:left="720"/>
        <w:rPr>
          <w:rFonts w:eastAsiaTheme="minorEastAsia"/>
        </w:rPr>
      </w:pPr>
      <w:r>
        <w:rPr>
          <w:rFonts w:eastAsiaTheme="minorEastAsia"/>
        </w:rPr>
        <w:t>It is</w:t>
      </w:r>
      <w:r w:rsidR="00B2646F">
        <w:rPr>
          <w:rFonts w:eastAsiaTheme="minorEastAsia"/>
        </w:rPr>
        <w:t xml:space="preserve"> worth noting that the markers gave no consideration to the coordinate of the one </w:t>
      </w:r>
      <w:r w:rsidR="004B7A53">
        <w:rPr>
          <w:rFonts w:eastAsiaTheme="minorEastAsia"/>
        </w:rPr>
        <w:t xml:space="preserve">sketched </w:t>
      </w:r>
      <w:r w:rsidR="00B2646F">
        <w:rPr>
          <w:rFonts w:eastAsiaTheme="minorEastAsia"/>
        </w:rPr>
        <w:t>local minimum in their marking</w:t>
      </w:r>
    </w:p>
    <w:p w14:paraId="52BD832B" w14:textId="0F9BC7DB" w:rsidR="00B2646F" w:rsidRDefault="00013637" w:rsidP="001F5886">
      <w:pPr>
        <w:pStyle w:val="SAABullet"/>
        <w:spacing w:after="60"/>
      </w:pPr>
      <w:r>
        <w:t>s</w:t>
      </w:r>
      <w:r w:rsidR="004B7A53">
        <w:t xml:space="preserve">ketched </w:t>
      </w:r>
      <w:r w:rsidR="00B2646F">
        <w:t xml:space="preserve">a graph for </w:t>
      </w:r>
      <m:oMath>
        <m:r>
          <w:rPr>
            <w:rFonts w:ascii="Cambria Math" w:hAnsi="Cambria Math"/>
          </w:rPr>
          <m:t>f(x)</m:t>
        </m:r>
      </m:oMath>
      <w:r w:rsidR="00B2646F">
        <w:t xml:space="preserve"> in part (e) with missing critical points or incorrect aspects</w:t>
      </w:r>
      <w:r w:rsidR="008F09F3">
        <w:t xml:space="preserve">. </w:t>
      </w:r>
      <w:r w:rsidR="00B2646F">
        <w:t xml:space="preserve">Some common mistakes </w:t>
      </w:r>
      <w:r w:rsidR="004B7A53">
        <w:t xml:space="preserve">in student’s sketches </w:t>
      </w:r>
      <w:r w:rsidR="00B2646F">
        <w:t>were:</w:t>
      </w:r>
    </w:p>
    <w:p w14:paraId="4B5DD9FE" w14:textId="77777777" w:rsidR="00B2646F" w:rsidRDefault="00B2646F" w:rsidP="001F5886">
      <w:pPr>
        <w:pStyle w:val="SAABullet2"/>
        <w:spacing w:before="0"/>
      </w:pPr>
      <w:r>
        <w:t xml:space="preserve">not connecting the function at </w:t>
      </w:r>
      <m:oMath>
        <m:r>
          <w:rPr>
            <w:rFonts w:ascii="Cambria Math" w:hAnsi="Cambria Math"/>
          </w:rPr>
          <m:t>x=1</m:t>
        </m:r>
      </m:oMath>
      <w:r>
        <w:t xml:space="preserve"> to the existing curve at a local minimum</w:t>
      </w:r>
    </w:p>
    <w:p w14:paraId="6A80C927" w14:textId="3E502DD8" w:rsidR="00B2646F" w:rsidRDefault="00B2646F" w:rsidP="007E3102">
      <w:pPr>
        <w:pStyle w:val="SAABullet2"/>
      </w:pPr>
      <w:r>
        <w:t>having more than one inflection point, or more than zero turning points (not including the right connecting point)</w:t>
      </w:r>
      <w:r w:rsidR="008F09F3">
        <w:t xml:space="preserve">. </w:t>
      </w:r>
      <w:r>
        <w:t xml:space="preserve">The </w:t>
      </w:r>
      <m:oMath>
        <m:r>
          <w:rPr>
            <w:rFonts w:ascii="Cambria Math" w:hAnsi="Cambria Math"/>
          </w:rPr>
          <m:t>x</m:t>
        </m:r>
      </m:oMath>
      <w:r>
        <w:t xml:space="preserve">-coordinate of the </w:t>
      </w:r>
      <w:r w:rsidR="004B7A53">
        <w:t xml:space="preserve">sketched </w:t>
      </w:r>
      <w:r>
        <w:t xml:space="preserve">inflection point, allowing for some error, should have been between </w:t>
      </w:r>
      <m:oMath>
        <m:r>
          <w:rPr>
            <w:rFonts w:ascii="Cambria Math" w:hAnsi="Cambria Math"/>
          </w:rPr>
          <m:t>x=0.4</m:t>
        </m:r>
      </m:oMath>
      <w:r>
        <w:t xml:space="preserve"> and </w:t>
      </w:r>
      <m:oMath>
        <m:r>
          <w:rPr>
            <w:rFonts w:ascii="Cambria Math" w:hAnsi="Cambria Math"/>
          </w:rPr>
          <m:t>x=0.6</m:t>
        </m:r>
      </m:oMath>
      <w:r w:rsidR="005800B4">
        <w:t>:</w:t>
      </w:r>
      <w:r>
        <w:t xml:space="preserve"> however</w:t>
      </w:r>
      <w:r w:rsidR="005800B4">
        <w:t>,</w:t>
      </w:r>
      <w:r>
        <w:t xml:space="preserve"> markers were lenient in its placement as it is often challenging to visually see its exact position</w:t>
      </w:r>
    </w:p>
    <w:p w14:paraId="69B1BBE0" w14:textId="77777777" w:rsidR="00B2646F" w:rsidRDefault="00B2646F" w:rsidP="007E3102">
      <w:pPr>
        <w:pStyle w:val="SAABullet2"/>
      </w:pPr>
      <w:r>
        <w:t xml:space="preserve">not reaching the </w:t>
      </w:r>
      <m:oMath>
        <m:r>
          <w:rPr>
            <w:rFonts w:ascii="Cambria Math" w:hAnsi="Cambria Math"/>
          </w:rPr>
          <m:t>y</m:t>
        </m:r>
      </m:oMath>
      <w:r>
        <w:t>-axis with an approximately zero slope.</w:t>
      </w:r>
    </w:p>
    <w:p w14:paraId="628170FE" w14:textId="77777777" w:rsidR="00B2646F" w:rsidRDefault="00B2646F" w:rsidP="007E3102">
      <w:pPr>
        <w:pStyle w:val="SAAQuestion"/>
      </w:pPr>
      <w:r>
        <w:lastRenderedPageBreak/>
        <w:t>Question 6</w:t>
      </w:r>
    </w:p>
    <w:p w14:paraId="1AD89A57" w14:textId="24A9C108" w:rsidR="00B2646F" w:rsidRPr="007E3102" w:rsidRDefault="00B2646F" w:rsidP="00BA4F59">
      <w:pPr>
        <w:pStyle w:val="SAAbodytext"/>
      </w:pPr>
      <w:r w:rsidRPr="007E3102">
        <w:t>Although this question started with a routine derivative, the final part of the question required careful thought and consideration of the context</w:t>
      </w:r>
      <w:r w:rsidR="008F09F3" w:rsidRPr="007E3102">
        <w:t xml:space="preserve">. </w:t>
      </w:r>
      <w:r w:rsidR="00BA4F59" w:rsidRPr="00BA4F59">
        <w:t xml:space="preserve">Responses generally demonstrated strong performance in the earlier parts of the </w:t>
      </w:r>
      <w:r w:rsidR="00524BBB" w:rsidRPr="00BA4F59">
        <w:t>question</w:t>
      </w:r>
      <w:r w:rsidR="00BE326F">
        <w:t>,</w:t>
      </w:r>
      <w:r w:rsidR="00524BBB">
        <w:t xml:space="preserve"> but</w:t>
      </w:r>
      <w:r w:rsidR="00BA4F59" w:rsidRPr="00BA4F59">
        <w:t xml:space="preserve"> </w:t>
      </w:r>
      <w:r w:rsidR="004B7A53">
        <w:t xml:space="preserve">students </w:t>
      </w:r>
      <w:proofErr w:type="gramStart"/>
      <w:r w:rsidR="00BE326F">
        <w:t xml:space="preserve">experienced </w:t>
      </w:r>
      <w:r w:rsidR="00BA4F59" w:rsidRPr="00BA4F59">
        <w:t>difficulty</w:t>
      </w:r>
      <w:proofErr w:type="gramEnd"/>
      <w:r w:rsidR="00BA4F59" w:rsidRPr="00BA4F59">
        <w:t xml:space="preserve"> with</w:t>
      </w:r>
      <w:r w:rsidR="00BA4F59">
        <w:t xml:space="preserve"> </w:t>
      </w:r>
      <w:r w:rsidRPr="007E3102">
        <w:t>the approach required in part (c)</w:t>
      </w:r>
      <w:r w:rsidR="008F09F3" w:rsidRPr="007E3102">
        <w:t xml:space="preserve">. </w:t>
      </w:r>
      <w:r w:rsidRPr="007E3102">
        <w:t>With this challenging final part, this question had the lowest percentage of marks achieved in Booklet 1, as expected.</w:t>
      </w:r>
    </w:p>
    <w:p w14:paraId="02A5BBD3" w14:textId="77777777" w:rsidR="00B2646F" w:rsidRPr="007E3102" w:rsidRDefault="00B2646F" w:rsidP="001F5886">
      <w:pPr>
        <w:pStyle w:val="SAAmoreless"/>
        <w:spacing w:after="60"/>
      </w:pPr>
      <w:r w:rsidRPr="007E3102">
        <w:t>The more successful responses commonly:</w:t>
      </w:r>
    </w:p>
    <w:p w14:paraId="2B233451" w14:textId="77777777" w:rsidR="00B2646F" w:rsidRDefault="00B2646F" w:rsidP="001F5886">
      <w:pPr>
        <w:pStyle w:val="SAABullet"/>
        <w:spacing w:before="60"/>
      </w:pPr>
      <w:r>
        <w:t xml:space="preserve">showed clear and logical steps in finding </w:t>
      </w:r>
      <m:oMath>
        <m:f>
          <m:fPr>
            <m:ctrlPr>
              <w:rPr>
                <w:rFonts w:ascii="Cambria Math" w:hAnsi="Cambria Math"/>
                <w:i/>
              </w:rPr>
            </m:ctrlPr>
          </m:fPr>
          <m:num>
            <m:r>
              <m:rPr>
                <m:sty m:val="p"/>
              </m:rPr>
              <w:rPr>
                <w:rFonts w:ascii="Cambria Math" w:hAnsi="Cambria Math"/>
              </w:rPr>
              <m:t>d</m:t>
            </m:r>
            <m:r>
              <w:rPr>
                <w:rFonts w:ascii="Cambria Math" w:hAnsi="Cambria Math"/>
              </w:rPr>
              <m:t>y</m:t>
            </m:r>
          </m:num>
          <m:den>
            <m:r>
              <m:rPr>
                <m:sty m:val="p"/>
              </m:rPr>
              <w:rPr>
                <w:rFonts w:ascii="Cambria Math" w:hAnsi="Cambria Math"/>
              </w:rPr>
              <m:t>d</m:t>
            </m:r>
            <m:r>
              <w:rPr>
                <w:rFonts w:ascii="Cambria Math" w:hAnsi="Cambria Math"/>
              </w:rPr>
              <m:t>x</m:t>
            </m:r>
          </m:den>
        </m:f>
      </m:oMath>
      <w:r>
        <w:rPr>
          <w:rFonts w:eastAsiaTheme="minorEastAsia"/>
        </w:rPr>
        <w:t xml:space="preserve"> in part (a)</w:t>
      </w:r>
    </w:p>
    <w:p w14:paraId="009AD6C8" w14:textId="52533FCD" w:rsidR="00B2646F" w:rsidRDefault="00B2646F" w:rsidP="00BA4F59">
      <w:pPr>
        <w:pStyle w:val="SAABullet"/>
      </w:pPr>
      <w:r>
        <w:t>used technology to find the requested value in part (b)</w:t>
      </w:r>
      <w:r w:rsidR="008F09F3">
        <w:t xml:space="preserve">. </w:t>
      </w:r>
      <w:r w:rsidR="00BA4F59" w:rsidRPr="00BA4F59">
        <w:t>An effective approach was to</w:t>
      </w:r>
      <w:r>
        <w:t xml:space="preserve"> plot a graph of the given result from part (a), </w:t>
      </w:r>
      <w:r w:rsidR="00BA4F59">
        <w:t xml:space="preserve">and </w:t>
      </w:r>
      <w:r>
        <w:t>then use the appropriate function of the calculator to find the minimum value</w:t>
      </w:r>
    </w:p>
    <w:p w14:paraId="4F2E687C" w14:textId="6D27C153" w:rsidR="00B2646F" w:rsidRDefault="00B2646F" w:rsidP="007E3102">
      <w:pPr>
        <w:pStyle w:val="SAABullet"/>
      </w:pPr>
      <w:r>
        <w:t xml:space="preserve">used a structured process to determine the exact value of </w:t>
      </w:r>
      <m:oMath>
        <m:r>
          <w:rPr>
            <w:rFonts w:ascii="Cambria Math" w:hAnsi="Cambria Math"/>
          </w:rPr>
          <m:t>a</m:t>
        </m:r>
      </m:oMath>
      <w:r>
        <w:rPr>
          <w:rFonts w:eastAsiaTheme="minorEastAsia"/>
        </w:rPr>
        <w:t xml:space="preserve"> in part (c)</w:t>
      </w:r>
      <w:r w:rsidR="008F09F3">
        <w:rPr>
          <w:rFonts w:eastAsiaTheme="minorEastAsia"/>
        </w:rPr>
        <w:t xml:space="preserve">. </w:t>
      </w:r>
      <w:r>
        <w:rPr>
          <w:rFonts w:eastAsiaTheme="minorEastAsia"/>
        </w:rPr>
        <w:t>The main approaches taken by students who were successful were</w:t>
      </w:r>
      <w:r w:rsidR="007E3102">
        <w:rPr>
          <w:rFonts w:eastAsiaTheme="minorEastAsia"/>
        </w:rPr>
        <w:t>:</w:t>
      </w:r>
    </w:p>
    <w:p w14:paraId="426B2EDF" w14:textId="77777777" w:rsidR="00B2646F" w:rsidRDefault="00B2646F" w:rsidP="007E3102">
      <w:pPr>
        <w:pStyle w:val="SAABullet2"/>
      </w:pPr>
      <w:r>
        <w:t xml:space="preserve">Approach 1 – Finding the general equation of the tangent at </w:t>
      </w:r>
      <m:oMath>
        <m:r>
          <w:rPr>
            <w:rFonts w:ascii="Cambria Math" w:hAnsi="Cambria Math"/>
          </w:rPr>
          <m:t>x=a</m:t>
        </m:r>
      </m:oMath>
      <w:r>
        <w:rPr>
          <w:rFonts w:eastAsiaTheme="minorEastAsia"/>
        </w:rPr>
        <w:t xml:space="preserve"> using the following steps:</w:t>
      </w:r>
    </w:p>
    <w:p w14:paraId="24F1ED71" w14:textId="77777777" w:rsidR="00B2646F" w:rsidRDefault="00B2646F" w:rsidP="007E3102">
      <w:pPr>
        <w:pStyle w:val="SAABullet3"/>
      </w:pPr>
      <w:r>
        <w:t xml:space="preserve">determine the coordinate and slope at </w:t>
      </w:r>
      <m:oMath>
        <m:r>
          <w:rPr>
            <w:rFonts w:ascii="Cambria Math" w:hAnsi="Cambria Math"/>
          </w:rPr>
          <m:t>x=a</m:t>
        </m:r>
      </m:oMath>
    </w:p>
    <w:p w14:paraId="702EC604" w14:textId="46B72D4A" w:rsidR="00B2646F" w:rsidRDefault="00B2646F" w:rsidP="007E3102">
      <w:pPr>
        <w:pStyle w:val="SAABullet3"/>
      </w:pPr>
      <w:r>
        <w:t>determine the corresponding equation of the tangent through this coordinate with this slope</w:t>
      </w:r>
      <w:r w:rsidR="008F09F3">
        <w:t xml:space="preserve">. </w:t>
      </w:r>
      <w:r>
        <w:t xml:space="preserve">The approach requiring the minimum amount of algebraic complexity used the formula </w:t>
      </w:r>
      <m:oMath>
        <m:r>
          <m:rPr>
            <m:sty m:val="p"/>
          </m:rPr>
          <w:rPr>
            <w:rFonts w:ascii="Cambria Math" w:hAnsi="Cambria Math"/>
          </w:rPr>
          <w:br/>
        </m:r>
        <m:r>
          <w:rPr>
            <w:rFonts w:ascii="Cambria Math" w:hAnsi="Cambria Math"/>
          </w:rPr>
          <m:t>y=</m:t>
        </m:r>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a</m:t>
            </m:r>
          </m:e>
        </m:d>
        <m:d>
          <m:dPr>
            <m:ctrlPr>
              <w:rPr>
                <w:rFonts w:ascii="Cambria Math" w:hAnsi="Cambria Math"/>
                <w:i/>
              </w:rPr>
            </m:ctrlPr>
          </m:dPr>
          <m:e>
            <m:r>
              <w:rPr>
                <w:rFonts w:ascii="Cambria Math" w:hAnsi="Cambria Math"/>
              </w:rPr>
              <m:t>x-a</m:t>
            </m:r>
          </m:e>
        </m:d>
        <m:r>
          <w:rPr>
            <w:rFonts w:ascii="Cambria Math" w:hAnsi="Cambria Math"/>
          </w:rPr>
          <m:t>+f(a)</m:t>
        </m:r>
      </m:oMath>
      <w:r>
        <w:t xml:space="preserve">, or the general form </w:t>
      </w:r>
      <m:oMath>
        <m:r>
          <w:rPr>
            <w:rFonts w:ascii="Cambria Math" w:hAnsi="Cambria Math"/>
          </w:rPr>
          <m:t>Ax+By=C</m:t>
        </m:r>
      </m:oMath>
    </w:p>
    <w:p w14:paraId="4D6F699C" w14:textId="77777777" w:rsidR="00B2646F" w:rsidRDefault="00B2646F" w:rsidP="007E3102">
      <w:pPr>
        <w:pStyle w:val="SAABullet3"/>
      </w:pPr>
      <w:r>
        <w:t xml:space="preserve">substitute the origin into this tangent to determine the value of </w:t>
      </w:r>
      <m:oMath>
        <m:r>
          <w:rPr>
            <w:rFonts w:ascii="Cambria Math" w:hAnsi="Cambria Math"/>
          </w:rPr>
          <m:t>a</m:t>
        </m:r>
      </m:oMath>
    </w:p>
    <w:p w14:paraId="46335DB6" w14:textId="2C9E05FA" w:rsidR="00B2646F" w:rsidRDefault="008F09F3" w:rsidP="00B2646F">
      <w:pPr>
        <w:pStyle w:val="SAABullets"/>
        <w:numPr>
          <w:ilvl w:val="3"/>
          <w:numId w:val="48"/>
        </w:numPr>
      </w:pPr>
      <w:r>
        <w:rPr>
          <w:rFonts w:eastAsiaTheme="minorEastAsia"/>
        </w:rPr>
        <w:t>It is</w:t>
      </w:r>
      <w:r w:rsidR="00B2646F">
        <w:rPr>
          <w:rFonts w:eastAsiaTheme="minorEastAsia"/>
        </w:rPr>
        <w:t xml:space="preserve"> worth noting that the origin could be used first to establish the equation of the tangent, and the coordinate at </w:t>
      </w:r>
      <m:oMath>
        <m:r>
          <w:rPr>
            <w:rFonts w:ascii="Cambria Math" w:eastAsiaTheme="minorEastAsia" w:hAnsi="Cambria Math"/>
          </w:rPr>
          <m:t>x=a</m:t>
        </m:r>
      </m:oMath>
      <w:r w:rsidR="00B2646F">
        <w:rPr>
          <w:rFonts w:eastAsiaTheme="minorEastAsia"/>
        </w:rPr>
        <w:t xml:space="preserve"> could be used in the final step</w:t>
      </w:r>
    </w:p>
    <w:p w14:paraId="3B9EF95E" w14:textId="77777777" w:rsidR="00B2646F" w:rsidRDefault="00B2646F" w:rsidP="007E3102">
      <w:pPr>
        <w:pStyle w:val="SAABullet2"/>
      </w:pPr>
      <w:r>
        <w:t>Approach 2 – Use the slope of the chord</w:t>
      </w:r>
    </w:p>
    <w:p w14:paraId="5CD1545A" w14:textId="77777777" w:rsidR="00B2646F" w:rsidRDefault="00B2646F" w:rsidP="007E3102">
      <w:pPr>
        <w:pStyle w:val="SAABullet3"/>
      </w:pPr>
      <w:r>
        <w:t xml:space="preserve">determine the slope of </w:t>
      </w:r>
      <m:oMath>
        <m:r>
          <w:rPr>
            <w:rFonts w:ascii="Cambria Math" w:hAnsi="Cambria Math"/>
          </w:rPr>
          <m:t>AO</m:t>
        </m:r>
      </m:oMath>
    </w:p>
    <w:p w14:paraId="659DEC4A" w14:textId="77777777" w:rsidR="00B2646F" w:rsidRDefault="00B2646F" w:rsidP="007E3102">
      <w:pPr>
        <w:pStyle w:val="SAABullet3"/>
      </w:pPr>
      <w:r>
        <w:t xml:space="preserve">equate this slope to </w:t>
      </w:r>
      <m:oMath>
        <m:f>
          <m:fPr>
            <m:ctrlPr>
              <w:rPr>
                <w:rFonts w:ascii="Cambria Math" w:hAnsi="Cambria Math"/>
                <w:i/>
              </w:rPr>
            </m:ctrlPr>
          </m:fPr>
          <m:num>
            <m:r>
              <m:rPr>
                <m:sty m:val="p"/>
              </m:rPr>
              <w:rPr>
                <w:rFonts w:ascii="Cambria Math" w:hAnsi="Cambria Math"/>
              </w:rPr>
              <m:t>d</m:t>
            </m:r>
            <m:r>
              <w:rPr>
                <w:rFonts w:ascii="Cambria Math" w:hAnsi="Cambria Math"/>
              </w:rPr>
              <m:t>y</m:t>
            </m:r>
          </m:num>
          <m:den>
            <m:r>
              <m:rPr>
                <m:sty m:val="p"/>
              </m:rPr>
              <w:rPr>
                <w:rFonts w:ascii="Cambria Math" w:hAnsi="Cambria Math"/>
              </w:rPr>
              <m:t>d</m:t>
            </m:r>
            <m:r>
              <w:rPr>
                <w:rFonts w:ascii="Cambria Math" w:hAnsi="Cambria Math"/>
              </w:rPr>
              <m:t>x</m:t>
            </m:r>
          </m:den>
        </m:f>
      </m:oMath>
      <w:r>
        <w:t xml:space="preserve"> when </w:t>
      </w:r>
      <m:oMath>
        <m:r>
          <w:rPr>
            <w:rFonts w:ascii="Cambria Math" w:hAnsi="Cambria Math"/>
          </w:rPr>
          <m:t>x=a</m:t>
        </m:r>
      </m:oMath>
      <w:r>
        <w:t xml:space="preserve"> and solve to determine the value of </w:t>
      </w:r>
      <m:oMath>
        <m:r>
          <w:rPr>
            <w:rFonts w:ascii="Cambria Math" w:hAnsi="Cambria Math"/>
          </w:rPr>
          <m:t>a</m:t>
        </m:r>
      </m:oMath>
      <w:r>
        <w:t>.</w:t>
      </w:r>
    </w:p>
    <w:p w14:paraId="79834F86" w14:textId="77777777" w:rsidR="00B2646F" w:rsidRDefault="00B2646F" w:rsidP="007E3102">
      <w:pPr>
        <w:pStyle w:val="SAAmoreless"/>
      </w:pPr>
      <w:r>
        <w:t>The less successful responses commonly:</w:t>
      </w:r>
    </w:p>
    <w:p w14:paraId="3D8EC87B" w14:textId="77777777" w:rsidR="00B2646F" w:rsidRDefault="00B2646F" w:rsidP="007E3102">
      <w:pPr>
        <w:pStyle w:val="SAABullet"/>
      </w:pPr>
      <w:r>
        <w:t>used the product rule in part (a), leading to a much more challenging process to find the derivative</w:t>
      </w:r>
    </w:p>
    <w:p w14:paraId="29ADF9D1" w14:textId="77777777" w:rsidR="00B2646F" w:rsidRDefault="00B2646F" w:rsidP="007E3102">
      <w:pPr>
        <w:pStyle w:val="SAABullet"/>
      </w:pPr>
      <w:r>
        <w:t xml:space="preserve">implemented the quotient rule in the incorrect order in part (a), resulting in the numerator being the negative of the desired result (i.e. an incorrect numerator of </w:t>
      </w:r>
      <m:oMath>
        <m:r>
          <w:rPr>
            <w:rFonts w:ascii="Cambria Math" w:hAnsi="Cambria Math"/>
          </w:rPr>
          <m:t>8</m:t>
        </m:r>
        <m:sSup>
          <m:sSupPr>
            <m:ctrlPr>
              <w:rPr>
                <w:rFonts w:ascii="Cambria Math" w:hAnsi="Cambria Math"/>
                <w:i/>
              </w:rPr>
            </m:ctrlPr>
          </m:sSupPr>
          <m:e>
            <m:r>
              <w:rPr>
                <w:rFonts w:ascii="Cambria Math" w:hAnsi="Cambria Math"/>
              </w:rPr>
              <m:t>x</m:t>
            </m:r>
          </m:e>
          <m:sup>
            <m:r>
              <w:rPr>
                <w:rFonts w:ascii="Cambria Math" w:hAnsi="Cambria Math"/>
              </w:rPr>
              <m:t>2</m:t>
            </m:r>
          </m:sup>
        </m:sSup>
        <m:d>
          <m:dPr>
            <m:ctrlPr>
              <w:rPr>
                <w:rFonts w:ascii="Cambria Math" w:hAnsi="Cambria Math"/>
                <w:i/>
              </w:rPr>
            </m:ctrlPr>
          </m:dPr>
          <m:e>
            <m:r>
              <w:rPr>
                <w:rFonts w:ascii="Cambria Math" w:hAnsi="Cambria Math"/>
              </w:rPr>
              <m:t>2x</m:t>
            </m:r>
          </m:e>
        </m:d>
        <m:r>
          <w:rPr>
            <w:rFonts w:ascii="Cambria Math" w:hAnsi="Cambria Math"/>
          </w:rPr>
          <m:t>-16x(</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+20</m:t>
        </m:r>
        <m:r>
          <w:rPr>
            <w:rFonts w:ascii="Cambria Math" w:eastAsiaTheme="minorEastAsia" w:hAnsi="Cambria Math"/>
          </w:rPr>
          <m:t>)</m:t>
        </m:r>
      </m:oMath>
      <w:r>
        <w:rPr>
          <w:rFonts w:eastAsiaTheme="minorEastAsia"/>
        </w:rPr>
        <w:t>)</w:t>
      </w:r>
    </w:p>
    <w:p w14:paraId="12558651" w14:textId="77777777" w:rsidR="00B2646F" w:rsidRDefault="00B2646F" w:rsidP="007E3102">
      <w:pPr>
        <w:pStyle w:val="SAABullet"/>
      </w:pPr>
      <w:r>
        <w:t xml:space="preserve">differentiated the given equation for </w:t>
      </w:r>
      <m:oMath>
        <m:f>
          <m:fPr>
            <m:ctrlPr>
              <w:rPr>
                <w:rFonts w:ascii="Cambria Math" w:eastAsiaTheme="minorEastAsia" w:hAnsi="Cambria Math"/>
                <w:i/>
              </w:rPr>
            </m:ctrlPr>
          </m:fPr>
          <m:num>
            <m:r>
              <m:rPr>
                <m:sty m:val="p"/>
              </m:rPr>
              <w:rPr>
                <w:rFonts w:ascii="Cambria Math" w:eastAsiaTheme="minorEastAsia" w:hAnsi="Cambria Math"/>
              </w:rPr>
              <m:t>d</m:t>
            </m:r>
            <m:r>
              <w:rPr>
                <w:rFonts w:ascii="Cambria Math" w:eastAsiaTheme="minorEastAsia" w:hAnsi="Cambria Math"/>
              </w:rPr>
              <m:t>y</m:t>
            </m:r>
          </m:num>
          <m:den>
            <m:r>
              <m:rPr>
                <m:sty m:val="p"/>
              </m:rPr>
              <w:rPr>
                <w:rFonts w:ascii="Cambria Math" w:eastAsiaTheme="minorEastAsia" w:hAnsi="Cambria Math"/>
              </w:rPr>
              <m:t>d</m:t>
            </m:r>
            <m:r>
              <w:rPr>
                <w:rFonts w:ascii="Cambria Math" w:eastAsiaTheme="minorEastAsia" w:hAnsi="Cambria Math"/>
              </w:rPr>
              <m:t>x</m:t>
            </m:r>
          </m:den>
        </m:f>
      </m:oMath>
      <w:r>
        <w:t xml:space="preserve"> in part (a) (i.e. they found </w:t>
      </w:r>
      <m:oMath>
        <m:f>
          <m:fPr>
            <m:ctrlPr>
              <w:rPr>
                <w:rFonts w:ascii="Cambria Math" w:hAnsi="Cambria Math"/>
                <w:i/>
              </w:rPr>
            </m:ctrlPr>
          </m:fPr>
          <m:num>
            <m:sSup>
              <m:sSupPr>
                <m:ctrlPr>
                  <w:rPr>
                    <w:rFonts w:ascii="Cambria Math" w:hAnsi="Cambria Math"/>
                    <w:i/>
                  </w:rPr>
                </m:ctrlPr>
              </m:sSupPr>
              <m:e>
                <m:r>
                  <m:rPr>
                    <m:sty m:val="p"/>
                  </m:rPr>
                  <w:rPr>
                    <w:rFonts w:ascii="Cambria Math" w:hAnsi="Cambria Math"/>
                  </w:rPr>
                  <m:t>d</m:t>
                </m:r>
              </m:e>
              <m:sup>
                <m:r>
                  <w:rPr>
                    <w:rFonts w:ascii="Cambria Math" w:hAnsi="Cambria Math"/>
                  </w:rPr>
                  <m:t>2</m:t>
                </m:r>
              </m:sup>
            </m:sSup>
            <m:r>
              <w:rPr>
                <w:rFonts w:ascii="Cambria Math" w:hAnsi="Cambria Math"/>
              </w:rPr>
              <m:t>y</m:t>
            </m:r>
          </m:num>
          <m:den>
            <m:r>
              <m:rPr>
                <m:sty m:val="p"/>
              </m:rPr>
              <w:rPr>
                <w:rFonts w:ascii="Cambria Math" w:hAnsi="Cambria Math"/>
              </w:rPr>
              <m:t>d</m:t>
            </m:r>
            <m:sSup>
              <m:sSupPr>
                <m:ctrlPr>
                  <w:rPr>
                    <w:rFonts w:ascii="Cambria Math" w:hAnsi="Cambria Math"/>
                    <w:i/>
                  </w:rPr>
                </m:ctrlPr>
              </m:sSupPr>
              <m:e>
                <m:r>
                  <w:rPr>
                    <w:rFonts w:ascii="Cambria Math" w:hAnsi="Cambria Math"/>
                  </w:rPr>
                  <m:t>x</m:t>
                </m:r>
              </m:e>
              <m:sup>
                <m:r>
                  <w:rPr>
                    <w:rFonts w:ascii="Cambria Math" w:hAnsi="Cambria Math"/>
                  </w:rPr>
                  <m:t>2</m:t>
                </m:r>
              </m:sup>
            </m:sSup>
          </m:den>
        </m:f>
      </m:oMath>
      <w:r>
        <w:rPr>
          <w:rFonts w:eastAsiaTheme="minorEastAsia"/>
        </w:rPr>
        <w:t>)</w:t>
      </w:r>
    </w:p>
    <w:p w14:paraId="760E9E86" w14:textId="4F740019" w:rsidR="00B2646F" w:rsidRDefault="00B2646F" w:rsidP="007E3102">
      <w:pPr>
        <w:pStyle w:val="SAABullet"/>
      </w:pPr>
      <w:r>
        <w:t xml:space="preserve">listed the </w:t>
      </w:r>
      <m:oMath>
        <m:r>
          <w:rPr>
            <w:rFonts w:ascii="Cambria Math" w:hAnsi="Cambria Math"/>
          </w:rPr>
          <m:t>x</m:t>
        </m:r>
      </m:oMath>
      <w:r>
        <w:rPr>
          <w:rFonts w:eastAsiaTheme="minorEastAsia"/>
        </w:rPr>
        <w:t xml:space="preserve">-value when the function has the minimum slope, rather than the requested slope value in </w:t>
      </w:r>
      <w:r w:rsidR="004B7A53">
        <w:rPr>
          <w:rFonts w:eastAsiaTheme="minorEastAsia"/>
        </w:rPr>
        <w:br/>
      </w:r>
      <w:r>
        <w:rPr>
          <w:rFonts w:eastAsiaTheme="minorEastAsia"/>
        </w:rPr>
        <w:t>part (b)</w:t>
      </w:r>
    </w:p>
    <w:p w14:paraId="29E4775D" w14:textId="5EC36EF1" w:rsidR="00B2646F" w:rsidRDefault="00BA4F59" w:rsidP="00BA4F59">
      <w:pPr>
        <w:pStyle w:val="SAABullet"/>
      </w:pPr>
      <w:r w:rsidRPr="00BA4F59">
        <w:t>showed limited evidence of careful reading</w:t>
      </w:r>
      <w:r>
        <w:t xml:space="preserve"> of </w:t>
      </w:r>
      <w:r w:rsidR="00B2646F">
        <w:t>part (c), leading to an incorrect approach</w:t>
      </w:r>
      <w:r w:rsidR="008F09F3">
        <w:t xml:space="preserve">. </w:t>
      </w:r>
      <w:r w:rsidR="00B2646F">
        <w:t>Some common incorrect approaches were</w:t>
      </w:r>
      <w:r w:rsidR="007E3102">
        <w:t>:</w:t>
      </w:r>
    </w:p>
    <w:p w14:paraId="3CC3E7DA" w14:textId="77777777" w:rsidR="00B2646F" w:rsidRDefault="00B2646F" w:rsidP="007E3102">
      <w:pPr>
        <w:pStyle w:val="SAABullet2"/>
      </w:pPr>
      <w:r>
        <w:t xml:space="preserve">letting the slope of the tangent be </w:t>
      </w:r>
      <m:oMath>
        <m:r>
          <w:rPr>
            <w:rFonts w:ascii="Cambria Math" w:hAnsi="Cambria Math"/>
          </w:rPr>
          <m:t>-1</m:t>
        </m:r>
      </m:oMath>
    </w:p>
    <w:p w14:paraId="42A27175" w14:textId="537234A1" w:rsidR="00B2646F" w:rsidRDefault="00B2646F" w:rsidP="007E3102">
      <w:pPr>
        <w:pStyle w:val="SAABullet2"/>
      </w:pPr>
      <w:r>
        <w:rPr>
          <w:rFonts w:eastAsiaTheme="minorEastAsia"/>
        </w:rPr>
        <w:t xml:space="preserve">finding the second derivative, thinking the value of </w:t>
      </w:r>
      <m:oMath>
        <m:r>
          <w:rPr>
            <w:rFonts w:ascii="Cambria Math" w:eastAsiaTheme="minorEastAsia" w:hAnsi="Cambria Math"/>
          </w:rPr>
          <m:t>a</m:t>
        </m:r>
      </m:oMath>
      <w:r>
        <w:rPr>
          <w:rFonts w:eastAsiaTheme="minorEastAsia"/>
        </w:rPr>
        <w:t xml:space="preserve"> related to the inflection point</w:t>
      </w:r>
      <w:r w:rsidR="00665C24">
        <w:rPr>
          <w:rFonts w:eastAsiaTheme="minorEastAsia"/>
        </w:rPr>
        <w:t>.</w:t>
      </w:r>
    </w:p>
    <w:p w14:paraId="6CE7787B" w14:textId="77777777" w:rsidR="00B2646F" w:rsidRDefault="00B2646F" w:rsidP="007E3102">
      <w:pPr>
        <w:pStyle w:val="SAABullet"/>
        <w:numPr>
          <w:ilvl w:val="0"/>
          <w:numId w:val="0"/>
        </w:numPr>
        <w:ind w:left="357"/>
      </w:pPr>
      <w:r>
        <w:t>Markers were still able to award some marks if a student was able to engage in a process with comparable complexity to the correct solution.</w:t>
      </w:r>
    </w:p>
    <w:p w14:paraId="070604DE" w14:textId="77777777" w:rsidR="00B2646F" w:rsidRDefault="00B2646F" w:rsidP="007E3102">
      <w:pPr>
        <w:pStyle w:val="SAAQuestion"/>
      </w:pPr>
      <w:r>
        <w:t xml:space="preserve">Question 7 </w:t>
      </w:r>
    </w:p>
    <w:p w14:paraId="0CF567A2" w14:textId="45ADF69F" w:rsidR="00350658" w:rsidRDefault="00B2646F" w:rsidP="00BA4F59">
      <w:pPr>
        <w:pStyle w:val="SAAbodytext"/>
      </w:pPr>
      <w:r w:rsidRPr="007E3102">
        <w:t xml:space="preserve">This short question explored a continuous random variable through a probability density function, before transitioning into a confidence interval question asked in an unfamiliar manner. Earlier parts of the question relied upon the use of technology, and later parts required careful reading of the question to determine answers. </w:t>
      </w:r>
      <w:r w:rsidR="00BA4F59" w:rsidRPr="00BA4F59">
        <w:t>This question proved challenging, as reliance on calculator-based methods commonly used in routine confidence interval questions was not sufficient.</w:t>
      </w:r>
      <w:r w:rsidR="00BA4F59">
        <w:t xml:space="preserve"> </w:t>
      </w:r>
      <w:r w:rsidRPr="007E3102">
        <w:t xml:space="preserve">Only approximately 12% of students achieved full marks, </w:t>
      </w:r>
      <w:r w:rsidR="00BA4F59" w:rsidRPr="00BA4F59">
        <w:t>largely due to the final two parts of the question.</w:t>
      </w:r>
    </w:p>
    <w:p w14:paraId="3DDB0934" w14:textId="77777777" w:rsidR="00350658" w:rsidRDefault="00350658">
      <w:pPr>
        <w:rPr>
          <w:color w:val="auto"/>
        </w:rPr>
      </w:pPr>
      <w:r>
        <w:br w:type="page"/>
      </w:r>
    </w:p>
    <w:p w14:paraId="3D95610F" w14:textId="77777777" w:rsidR="00B2646F" w:rsidRDefault="00B2646F" w:rsidP="007E3102">
      <w:pPr>
        <w:pStyle w:val="SAAmoreless"/>
      </w:pPr>
      <w:r>
        <w:lastRenderedPageBreak/>
        <w:t>The more successful responses commonly:</w:t>
      </w:r>
    </w:p>
    <w:p w14:paraId="26B94090" w14:textId="21AA9EFF" w:rsidR="00B2646F" w:rsidRDefault="00B2646F" w:rsidP="007E3102">
      <w:pPr>
        <w:pStyle w:val="SAABullet"/>
      </w:pPr>
      <w:r>
        <w:t>used technology to calculate the requested probabilities in part (a)(</w:t>
      </w:r>
      <w:proofErr w:type="spellStart"/>
      <w:r>
        <w:t>i</w:t>
      </w:r>
      <w:proofErr w:type="spellEnd"/>
      <w:r>
        <w:t>) and part (b)</w:t>
      </w:r>
      <w:r w:rsidR="008F09F3">
        <w:t xml:space="preserve">. </w:t>
      </w:r>
      <w:r>
        <w:t>Since each question was worth just one mark, there was no need to include notation or proof of substitution</w:t>
      </w:r>
    </w:p>
    <w:p w14:paraId="2BEE8C10" w14:textId="77777777" w:rsidR="00B2646F" w:rsidRDefault="00B2646F" w:rsidP="007E3102">
      <w:pPr>
        <w:pStyle w:val="SAABullet"/>
      </w:pPr>
      <w:r>
        <w:t xml:space="preserve">responded with a clear ‘No’ in part (a)(ii) followed by a clear reasoning linking the probability of </w:t>
      </w:r>
      <m:oMath>
        <m:r>
          <w:rPr>
            <w:rFonts w:ascii="Cambria Math" w:hAnsi="Cambria Math"/>
          </w:rPr>
          <m:t>0.368</m:t>
        </m:r>
      </m:oMath>
      <w:r>
        <w:rPr>
          <w:rFonts w:eastAsiaTheme="minorEastAsia"/>
        </w:rPr>
        <w:t xml:space="preserve"> from part (a) to being greater than </w:t>
      </w:r>
      <m:oMath>
        <m:r>
          <w:rPr>
            <w:rFonts w:ascii="Cambria Math" w:eastAsiaTheme="minorEastAsia" w:hAnsi="Cambria Math"/>
          </w:rPr>
          <m:t>0.25</m:t>
        </m:r>
      </m:oMath>
      <w:r>
        <w:rPr>
          <w:rFonts w:eastAsiaTheme="minorEastAsia"/>
        </w:rPr>
        <w:t xml:space="preserve"> (i.e. </w:t>
      </w:r>
      <m:oMath>
        <m:r>
          <w:rPr>
            <w:rFonts w:ascii="Cambria Math" w:eastAsiaTheme="minorEastAsia" w:hAnsi="Cambria Math"/>
          </w:rPr>
          <m:t>25%</m:t>
        </m:r>
      </m:oMath>
      <w:r>
        <w:rPr>
          <w:rFonts w:eastAsiaTheme="minorEastAsia"/>
        </w:rPr>
        <w:t>)</w:t>
      </w:r>
    </w:p>
    <w:p w14:paraId="797FFAAE" w14:textId="24E21906" w:rsidR="00B2646F" w:rsidRDefault="00BA4F59" w:rsidP="00BA4F59">
      <w:pPr>
        <w:pStyle w:val="SAABullet"/>
      </w:pPr>
      <w:r w:rsidRPr="00BA4F59">
        <w:rPr>
          <w:rFonts w:eastAsiaTheme="minorEastAsia"/>
        </w:rPr>
        <w:t>demonstrated careful reading of the question</w:t>
      </w:r>
      <w:r>
        <w:rPr>
          <w:rFonts w:eastAsiaTheme="minorEastAsia"/>
        </w:rPr>
        <w:t xml:space="preserve"> </w:t>
      </w:r>
      <w:r w:rsidR="00B2646F">
        <w:rPr>
          <w:rFonts w:eastAsiaTheme="minorEastAsia"/>
        </w:rPr>
        <w:t>in part (c)(</w:t>
      </w:r>
      <w:proofErr w:type="spellStart"/>
      <w:r w:rsidR="00B2646F">
        <w:rPr>
          <w:rFonts w:eastAsiaTheme="minorEastAsia"/>
        </w:rPr>
        <w:t>i</w:t>
      </w:r>
      <w:proofErr w:type="spellEnd"/>
      <w:r w:rsidR="00B2646F">
        <w:rPr>
          <w:rFonts w:eastAsiaTheme="minorEastAsia"/>
        </w:rPr>
        <w:t xml:space="preserve">), leading to rounding up </w:t>
      </w:r>
      <m:oMath>
        <m:r>
          <w:rPr>
            <w:rFonts w:ascii="Cambria Math" w:eastAsiaTheme="minorEastAsia" w:hAnsi="Cambria Math"/>
          </w:rPr>
          <m:t>2009.5</m:t>
        </m:r>
      </m:oMath>
      <w:r w:rsidR="00B2646F">
        <w:rPr>
          <w:rFonts w:eastAsiaTheme="minorEastAsia"/>
        </w:rPr>
        <w:t xml:space="preserve"> to </w:t>
      </w:r>
      <m:oMath>
        <m:r>
          <w:rPr>
            <w:rFonts w:ascii="Cambria Math" w:eastAsiaTheme="minorEastAsia" w:hAnsi="Cambria Math"/>
          </w:rPr>
          <m:t>2010</m:t>
        </m:r>
      </m:oMath>
      <w:r w:rsidR="00B2646F">
        <w:rPr>
          <w:rFonts w:eastAsiaTheme="minorEastAsia"/>
        </w:rPr>
        <w:t xml:space="preserve"> (as if they rounded down to </w:t>
      </w:r>
      <m:oMath>
        <m:r>
          <w:rPr>
            <w:rFonts w:ascii="Cambria Math" w:eastAsiaTheme="minorEastAsia" w:hAnsi="Cambria Math"/>
          </w:rPr>
          <m:t>2009</m:t>
        </m:r>
      </m:oMath>
      <w:r w:rsidR="00B2646F">
        <w:rPr>
          <w:rFonts w:eastAsiaTheme="minorEastAsia"/>
        </w:rPr>
        <w:t xml:space="preserve"> the confidence interval would not support the claim with </w:t>
      </w:r>
      <m:oMath>
        <m:r>
          <w:rPr>
            <w:rFonts w:ascii="Cambria Math" w:eastAsiaTheme="minorEastAsia" w:hAnsi="Cambria Math"/>
          </w:rPr>
          <m:t>99</m:t>
        </m:r>
      </m:oMath>
      <w:r w:rsidR="00B2646F">
        <w:rPr>
          <w:rFonts w:eastAsiaTheme="minorEastAsia"/>
        </w:rPr>
        <w:t>% confidence)</w:t>
      </w:r>
    </w:p>
    <w:p w14:paraId="3DC0E03E" w14:textId="5763269B" w:rsidR="00B2646F" w:rsidRDefault="00B2646F" w:rsidP="007E3102">
      <w:pPr>
        <w:pStyle w:val="SAABullet"/>
      </w:pPr>
      <w:r>
        <w:rPr>
          <w:rFonts w:eastAsiaTheme="minorEastAsia"/>
        </w:rPr>
        <w:t>used the known properties of a confidence interval to calculate the requested sample mean in part (c)(ii)</w:t>
      </w:r>
      <w:r w:rsidR="008F09F3">
        <w:rPr>
          <w:rFonts w:eastAsiaTheme="minorEastAsia"/>
        </w:rPr>
        <w:t xml:space="preserve">. </w:t>
      </w:r>
      <w:r>
        <w:rPr>
          <w:rFonts w:eastAsiaTheme="minorEastAsia"/>
        </w:rPr>
        <w:t xml:space="preserve">As the sample mean is always in the centre of any confidence interval calculated using it, the equation </w:t>
      </w:r>
      <m:oMath>
        <m:r>
          <m:rPr>
            <m:sty m:val="p"/>
          </m:rPr>
          <w:rPr>
            <w:rFonts w:ascii="Cambria Math" w:eastAsiaTheme="minorEastAsia" w:hAnsi="Cambria Math"/>
          </w:rPr>
          <w:br/>
        </m:r>
        <m:acc>
          <m:accPr>
            <m:chr m:val="̅"/>
            <m:ctrlPr>
              <w:rPr>
                <w:rFonts w:ascii="Cambria Math" w:eastAsiaTheme="minorEastAsia" w:hAnsi="Cambria Math"/>
                <w:i/>
              </w:rPr>
            </m:ctrlPr>
          </m:accPr>
          <m:e>
            <m:r>
              <w:rPr>
                <w:rFonts w:ascii="Cambria Math" w:eastAsiaTheme="minorEastAsia" w:hAnsi="Cambria Math"/>
              </w:rPr>
              <m:t>x</m:t>
            </m:r>
          </m:e>
        </m:acc>
        <m:r>
          <w:rPr>
            <w:rFonts w:ascii="Cambria Math" w:eastAsiaTheme="minorEastAsia" w:hAnsi="Cambria Math"/>
          </w:rPr>
          <m:t>=2110+</m:t>
        </m:r>
        <m:f>
          <m:fPr>
            <m:ctrlPr>
              <w:rPr>
                <w:rFonts w:ascii="Cambria Math" w:eastAsiaTheme="minorEastAsia" w:hAnsi="Cambria Math"/>
                <w:i/>
              </w:rPr>
            </m:ctrlPr>
          </m:fPr>
          <m:num>
            <m:r>
              <w:rPr>
                <w:rFonts w:ascii="Cambria Math" w:eastAsiaTheme="minorEastAsia" w:hAnsi="Cambria Math"/>
              </w:rPr>
              <m:t>168</m:t>
            </m:r>
          </m:num>
          <m:den>
            <m:r>
              <w:rPr>
                <w:rFonts w:ascii="Cambria Math" w:eastAsiaTheme="minorEastAsia" w:hAnsi="Cambria Math"/>
              </w:rPr>
              <m:t>2</m:t>
            </m:r>
          </m:den>
        </m:f>
        <m:r>
          <w:rPr>
            <w:rFonts w:ascii="Cambria Math" w:eastAsiaTheme="minorEastAsia" w:hAnsi="Cambria Math"/>
          </w:rPr>
          <m:t>=2194</m:t>
        </m:r>
      </m:oMath>
      <w:r>
        <w:rPr>
          <w:rFonts w:eastAsiaTheme="minorEastAsia"/>
        </w:rPr>
        <w:t xml:space="preserve"> could be used to quickly get the desired answer.</w:t>
      </w:r>
    </w:p>
    <w:p w14:paraId="3EC92463" w14:textId="77777777" w:rsidR="00B2646F" w:rsidRDefault="00B2646F" w:rsidP="007E3102">
      <w:pPr>
        <w:pStyle w:val="SAAmoreless"/>
      </w:pPr>
      <w:r>
        <w:t>The less successful responses commonly:</w:t>
      </w:r>
    </w:p>
    <w:p w14:paraId="4585BC76" w14:textId="77777777" w:rsidR="00B2646F" w:rsidRDefault="00B2646F" w:rsidP="007E3102">
      <w:pPr>
        <w:pStyle w:val="SAABullet"/>
      </w:pPr>
      <w:r>
        <w:t xml:space="preserve">incorrectly listed their answer to part (b) as </w:t>
      </w:r>
      <m:oMath>
        <m:r>
          <w:rPr>
            <w:rFonts w:ascii="Cambria Math" w:hAnsi="Cambria Math"/>
          </w:rPr>
          <m:t>0.5</m:t>
        </m:r>
      </m:oMath>
      <w:r>
        <w:t>, assuming that the distribution was symmetrical about the mean</w:t>
      </w:r>
    </w:p>
    <w:p w14:paraId="369BD42F" w14:textId="61C371F9" w:rsidR="00B2646F" w:rsidRDefault="00B2646F" w:rsidP="007E3102">
      <w:pPr>
        <w:pStyle w:val="SAABullet"/>
      </w:pPr>
      <w:r>
        <w:t>gave vague responses in part (b)</w:t>
      </w:r>
      <w:r w:rsidR="008F09F3">
        <w:t xml:space="preserve">. </w:t>
      </w:r>
      <w:r>
        <w:t>These include but are not limited to responding with a ‘Maybe</w:t>
      </w:r>
      <w:r w:rsidR="008F09F3">
        <w:t>’</w:t>
      </w:r>
      <w:r w:rsidR="00E366DD">
        <w:t>,</w:t>
      </w:r>
      <w:r>
        <w:t xml:space="preserve"> or ‘Unlikely’ rather than the required ‘No’; or, giving a justification that was unclear or incorrect</w:t>
      </w:r>
    </w:p>
    <w:p w14:paraId="1327D656" w14:textId="10E6AFEF" w:rsidR="00B2646F" w:rsidRDefault="00B2646F" w:rsidP="00BA4F59">
      <w:pPr>
        <w:pStyle w:val="SAABullet"/>
      </w:pPr>
      <w:r>
        <w:t>attempted to calculate a confidence interval in part (c)(</w:t>
      </w:r>
      <w:proofErr w:type="spellStart"/>
      <w:r>
        <w:t>i</w:t>
      </w:r>
      <w:proofErr w:type="spellEnd"/>
      <w:r>
        <w:t>) using their graphics calculator</w:t>
      </w:r>
      <w:r w:rsidR="00E366DD">
        <w:t xml:space="preserve">. </w:t>
      </w:r>
      <w:r w:rsidR="00BA4F59">
        <w:t>A</w:t>
      </w:r>
      <w:r w:rsidR="00BA4F59" w:rsidRPr="00BA4F59">
        <w:t>s the standard deviation was not provided, this approach did not support a correct solution</w:t>
      </w:r>
    </w:p>
    <w:p w14:paraId="7A564AC0" w14:textId="77777777" w:rsidR="00B2646F" w:rsidRDefault="00B2646F" w:rsidP="007E3102">
      <w:pPr>
        <w:pStyle w:val="SAABullet"/>
      </w:pPr>
      <w:r>
        <w:t>did not state their answer in part (c)(</w:t>
      </w:r>
      <w:proofErr w:type="spellStart"/>
      <w:r>
        <w:t>i</w:t>
      </w:r>
      <w:proofErr w:type="spellEnd"/>
      <w:r>
        <w:t>) to the nearest calorie.</w:t>
      </w:r>
    </w:p>
    <w:p w14:paraId="5B7E99B7" w14:textId="77777777" w:rsidR="00B2646F" w:rsidRDefault="00B2646F" w:rsidP="007E3102">
      <w:pPr>
        <w:pStyle w:val="SAAQuestion"/>
      </w:pPr>
      <w:r>
        <w:t>Question 8</w:t>
      </w:r>
    </w:p>
    <w:p w14:paraId="22DBE5F6" w14:textId="3C2B5189" w:rsidR="00B2646F" w:rsidRPr="007E3102" w:rsidRDefault="00B2646F" w:rsidP="00BA4F59">
      <w:pPr>
        <w:pStyle w:val="SAAbodytext"/>
      </w:pPr>
      <w:r w:rsidRPr="007E3102">
        <w:t>This question involved a probability mass function (geometric distribution) used to model the number of dice rolls in a particular game</w:t>
      </w:r>
      <w:r w:rsidR="00E366DD" w:rsidRPr="007E3102">
        <w:t xml:space="preserve">. </w:t>
      </w:r>
      <w:r w:rsidRPr="007E3102">
        <w:t>It assessed understanding of the context through worded responses, the use of technology to calculate probabilities, and the manipulation of algebraic equations to find given equations</w:t>
      </w:r>
      <w:r w:rsidR="00E366DD" w:rsidRPr="007E3102">
        <w:t xml:space="preserve">. </w:t>
      </w:r>
      <w:r w:rsidR="00BA4F59" w:rsidRPr="00BA4F59">
        <w:t xml:space="preserve">Overall, performance in this question was reasonably </w:t>
      </w:r>
      <w:r w:rsidR="008702F4" w:rsidRPr="00BA4F59">
        <w:t xml:space="preserve">strong, </w:t>
      </w:r>
      <w:r w:rsidR="008702F4" w:rsidRPr="007E3102">
        <w:t>with</w:t>
      </w:r>
      <w:r w:rsidRPr="007E3102">
        <w:t xml:space="preserve"> approximately 60% of students achieving 6 or more out of the 11 marks on offer</w:t>
      </w:r>
      <w:r w:rsidR="00E366DD" w:rsidRPr="007E3102">
        <w:t xml:space="preserve">. </w:t>
      </w:r>
      <w:r w:rsidRPr="007E3102">
        <w:t xml:space="preserve">It also had a high mode of 10. </w:t>
      </w:r>
    </w:p>
    <w:p w14:paraId="6911D818" w14:textId="77777777" w:rsidR="00B2646F" w:rsidRDefault="00B2646F" w:rsidP="007E3102">
      <w:pPr>
        <w:pStyle w:val="SAAmoreless"/>
      </w:pPr>
      <w:r>
        <w:t>The more successful responses commonly:</w:t>
      </w:r>
    </w:p>
    <w:p w14:paraId="6C9C06BA" w14:textId="4F630E21" w:rsidR="00B2646F" w:rsidRDefault="00B2646F" w:rsidP="00BE5510">
      <w:pPr>
        <w:pStyle w:val="SAABullet"/>
      </w:pPr>
      <w:r>
        <w:t>commented that the number of trials was ‘not fixed’ (or equivalent) in part (a)(</w:t>
      </w:r>
      <w:proofErr w:type="spellStart"/>
      <w:r>
        <w:t>i</w:t>
      </w:r>
      <w:proofErr w:type="spellEnd"/>
      <w:r>
        <w:t>)(1)</w:t>
      </w:r>
      <w:r w:rsidR="00E366DD">
        <w:t xml:space="preserve">. </w:t>
      </w:r>
      <w:r>
        <w:t>Answers commenting on the other conditions for a binomial distribution did not receive the mark (i.e. two possible outcomes, the probability of success remains constant, independent trials)</w:t>
      </w:r>
    </w:p>
    <w:p w14:paraId="38BB10FF" w14:textId="53EABEEC" w:rsidR="00B2646F" w:rsidRDefault="00B2646F" w:rsidP="00BB687E">
      <w:pPr>
        <w:pStyle w:val="SAABullet"/>
      </w:pPr>
      <w:r>
        <w:t>used technology to quickly calculate the requested probabilities in part (a)(ii)(1), part (a)(ii)(2) and part (b)(</w:t>
      </w:r>
      <w:proofErr w:type="spellStart"/>
      <w:r>
        <w:t>i</w:t>
      </w:r>
      <w:proofErr w:type="spellEnd"/>
      <w:r>
        <w:t>)</w:t>
      </w:r>
      <w:r w:rsidR="00E366DD">
        <w:t xml:space="preserve">. </w:t>
      </w:r>
      <w:r>
        <w:t xml:space="preserve">Although full marks were awarded to the correct probabilities (even with no working out), more successful </w:t>
      </w:r>
      <w:r w:rsidR="00BB687E" w:rsidRPr="00BB687E">
        <w:t xml:space="preserve">responses </w:t>
      </w:r>
      <w:r>
        <w:t>showed substitution and the addition of the multiple options possible (i.e. in part (a)(ii)(2) and part (b)(</w:t>
      </w:r>
      <w:proofErr w:type="spellStart"/>
      <w:r>
        <w:t>i</w:t>
      </w:r>
      <w:proofErr w:type="spellEnd"/>
      <w:r>
        <w:t>))</w:t>
      </w:r>
    </w:p>
    <w:p w14:paraId="7B87D130" w14:textId="03321AB8" w:rsidR="00B2646F" w:rsidRDefault="00B2646F" w:rsidP="00BE5510">
      <w:pPr>
        <w:pStyle w:val="SAABullet"/>
      </w:pPr>
      <w:r>
        <w:t>used clear and logical steps to reach the given quadratic in part (b)(ii)(1)</w:t>
      </w:r>
      <w:r w:rsidR="00E366DD">
        <w:t xml:space="preserve">. </w:t>
      </w:r>
      <w:r>
        <w:t>Some common steps included were</w:t>
      </w:r>
      <w:r w:rsidR="00BE5510">
        <w:t>:</w:t>
      </w:r>
    </w:p>
    <w:p w14:paraId="24711460" w14:textId="4FA4D4E7" w:rsidR="00B2646F" w:rsidRDefault="00B2646F" w:rsidP="00BE5510">
      <w:pPr>
        <w:pStyle w:val="SAABullet2"/>
      </w:pPr>
      <w:r>
        <w:t xml:space="preserve">clear substitution into the </w:t>
      </w:r>
      <w:r w:rsidR="00A25188">
        <w:t xml:space="preserve">given </w:t>
      </w:r>
      <w:r>
        <w:t xml:space="preserve">probability mass function to find </w:t>
      </w:r>
      <m:oMath>
        <m:func>
          <m:funcPr>
            <m:ctrlPr>
              <w:rPr>
                <w:rFonts w:ascii="Cambria Math" w:hAnsi="Cambria Math"/>
                <w:color w:val="000000" w:themeColor="text1"/>
              </w:rPr>
            </m:ctrlPr>
          </m:funcPr>
          <m:fName>
            <m:r>
              <m:rPr>
                <m:sty m:val="p"/>
              </m:rPr>
              <w:rPr>
                <w:rFonts w:ascii="Cambria Math" w:hAnsi="Cambria Math"/>
              </w:rPr>
              <m:t>Pr</m:t>
            </m:r>
          </m:fName>
          <m:e>
            <m:d>
              <m:dPr>
                <m:ctrlPr>
                  <w:rPr>
                    <w:rFonts w:ascii="Cambria Math" w:hAnsi="Cambria Math"/>
                    <w:i/>
                    <w:color w:val="000000" w:themeColor="text1"/>
                  </w:rPr>
                </m:ctrlPr>
              </m:dPr>
              <m:e>
                <m:r>
                  <w:rPr>
                    <w:rFonts w:ascii="Cambria Math" w:hAnsi="Cambria Math"/>
                  </w:rPr>
                  <m:t>X=1</m:t>
                </m:r>
              </m:e>
            </m:d>
          </m:e>
        </m:func>
        <m:r>
          <w:rPr>
            <w:rFonts w:ascii="Cambria Math" w:hAnsi="Cambria Math"/>
          </w:rPr>
          <m:t>+</m:t>
        </m:r>
        <m:r>
          <m:rPr>
            <m:sty m:val="p"/>
          </m:rPr>
          <w:rPr>
            <w:rFonts w:ascii="Cambria Math" w:hAnsi="Cambria Math"/>
          </w:rPr>
          <m:t>Pr⁡</m:t>
        </m:r>
        <m:r>
          <w:rPr>
            <w:rFonts w:ascii="Cambria Math" w:hAnsi="Cambria Math"/>
          </w:rPr>
          <m:t>(X=2)</m:t>
        </m:r>
      </m:oMath>
    </w:p>
    <w:p w14:paraId="21277D1F" w14:textId="77777777" w:rsidR="00B2646F" w:rsidRDefault="00B2646F" w:rsidP="00BE5510">
      <w:pPr>
        <w:pStyle w:val="SAABullet2"/>
        <w:rPr>
          <w:rFonts w:eastAsiaTheme="minorEastAsia"/>
        </w:rPr>
      </w:pPr>
      <w:r>
        <w:rPr>
          <w:rFonts w:eastAsiaTheme="minorEastAsia"/>
        </w:rPr>
        <w:t xml:space="preserve">equating this probability to be </w:t>
      </w:r>
      <m:oMath>
        <m:f>
          <m:fPr>
            <m:ctrlPr>
              <w:rPr>
                <w:rFonts w:ascii="Cambria Math" w:eastAsiaTheme="minorEastAsia" w:hAnsi="Cambria Math"/>
                <w:i/>
                <w:color w:val="000000" w:themeColor="text1"/>
              </w:rPr>
            </m:ctrlPr>
          </m:fPr>
          <m:num>
            <m:r>
              <w:rPr>
                <w:rFonts w:ascii="Cambria Math" w:eastAsiaTheme="minorEastAsia" w:hAnsi="Cambria Math"/>
              </w:rPr>
              <m:t>39</m:t>
            </m:r>
          </m:num>
          <m:den>
            <m:r>
              <w:rPr>
                <w:rFonts w:ascii="Cambria Math" w:eastAsiaTheme="minorEastAsia" w:hAnsi="Cambria Math"/>
              </w:rPr>
              <m:t>400</m:t>
            </m:r>
          </m:den>
        </m:f>
      </m:oMath>
    </w:p>
    <w:p w14:paraId="02F7C45D" w14:textId="77777777" w:rsidR="00B2646F" w:rsidRDefault="00B2646F" w:rsidP="00BE5510">
      <w:pPr>
        <w:pStyle w:val="SAABullet2"/>
        <w:rPr>
          <w:rFonts w:eastAsiaTheme="minorEastAsia"/>
        </w:rPr>
      </w:pPr>
      <w:r>
        <w:rPr>
          <w:rFonts w:eastAsiaTheme="minorEastAsia"/>
        </w:rPr>
        <w:t>expanding and grouping like terms</w:t>
      </w:r>
    </w:p>
    <w:p w14:paraId="7634DCCD" w14:textId="727BEE4E" w:rsidR="00B2646F" w:rsidRDefault="00B2646F" w:rsidP="00BE5510">
      <w:pPr>
        <w:pStyle w:val="SAABullet2"/>
        <w:rPr>
          <w:rFonts w:eastAsiaTheme="minorEastAsia"/>
        </w:rPr>
      </w:pPr>
      <w:r>
        <w:rPr>
          <w:rFonts w:eastAsiaTheme="minorEastAsia"/>
        </w:rPr>
        <w:t>removing denominators through multiplication</w:t>
      </w:r>
      <w:r w:rsidR="00665C24">
        <w:rPr>
          <w:rFonts w:eastAsiaTheme="minorEastAsia"/>
        </w:rPr>
        <w:t>.</w:t>
      </w:r>
    </w:p>
    <w:p w14:paraId="6507AD71" w14:textId="6FAB387A" w:rsidR="00B2646F" w:rsidRDefault="00B2646F" w:rsidP="00BB687E">
      <w:pPr>
        <w:pStyle w:val="SAABullet"/>
        <w:rPr>
          <w:rFonts w:eastAsiaTheme="minorEastAsia"/>
        </w:rPr>
      </w:pPr>
      <w:r>
        <w:t>used technology to solve the given quadratic in part (b)(ii)(2)</w:t>
      </w:r>
      <w:r w:rsidR="00E366DD">
        <w:t xml:space="preserve">. </w:t>
      </w:r>
      <w:r w:rsidR="00BB687E" w:rsidRPr="00BB687E">
        <w:t>The limited space provided and the allocation of one mark were intended to discourage the use of</w:t>
      </w:r>
      <w:r w:rsidR="00BB687E">
        <w:t xml:space="preserve"> </w:t>
      </w:r>
      <w:r>
        <w:t>an algebraic approach.</w:t>
      </w:r>
    </w:p>
    <w:p w14:paraId="751F4F14" w14:textId="77777777" w:rsidR="00B2646F" w:rsidRDefault="00B2646F" w:rsidP="007E3102">
      <w:pPr>
        <w:pStyle w:val="SAAmoreless"/>
      </w:pPr>
      <w:r>
        <w:t>The less successful responses commonly:</w:t>
      </w:r>
    </w:p>
    <w:p w14:paraId="4D29A92D" w14:textId="0785CECA" w:rsidR="00B2646F" w:rsidRDefault="00BB687E" w:rsidP="00BB687E">
      <w:pPr>
        <w:pStyle w:val="SAABullet"/>
      </w:pPr>
      <w:r w:rsidRPr="00BB687E">
        <w:t xml:space="preserve">showed limited evidence of careful </w:t>
      </w:r>
      <w:r w:rsidR="008702F4" w:rsidRPr="00BB687E">
        <w:t>reading</w:t>
      </w:r>
      <w:r w:rsidR="008702F4">
        <w:t xml:space="preserve"> in</w:t>
      </w:r>
      <w:r w:rsidR="00B2646F">
        <w:t xml:space="preserve"> part (a)(</w:t>
      </w:r>
      <w:proofErr w:type="spellStart"/>
      <w:r w:rsidR="00B2646F">
        <w:t>i</w:t>
      </w:r>
      <w:proofErr w:type="spellEnd"/>
      <w:r w:rsidR="00B2646F">
        <w:t>)(2) to comprehend how points were rewarded in this scenario</w:t>
      </w:r>
      <w:r w:rsidR="00E366DD">
        <w:t xml:space="preserve">. </w:t>
      </w:r>
      <w:r w:rsidR="00B2646F">
        <w:t xml:space="preserve">A common incorrect response was ‘there is no zero on the dice’ </w:t>
      </w:r>
    </w:p>
    <w:p w14:paraId="524C0760" w14:textId="670AAAC3" w:rsidR="00B2646F" w:rsidRDefault="00B2646F" w:rsidP="00BB687E">
      <w:pPr>
        <w:pStyle w:val="SAABullet"/>
      </w:pPr>
      <w:r>
        <w:rPr>
          <w:rFonts w:eastAsiaTheme="minorEastAsia"/>
        </w:rPr>
        <w:t xml:space="preserve">did not take note of the ‘hint’ that it </w:t>
      </w:r>
      <w:r>
        <w:rPr>
          <w:rFonts w:eastAsiaTheme="minorEastAsia"/>
          <w:b/>
          <w:bCs/>
        </w:rPr>
        <w:t>cannot</w:t>
      </w:r>
      <w:r>
        <w:rPr>
          <w:rFonts w:eastAsiaTheme="minorEastAsia"/>
        </w:rPr>
        <w:t xml:space="preserve"> be modelled using a Binomial Distribution </w:t>
      </w:r>
      <w:r>
        <w:t>in part (a)(</w:t>
      </w:r>
      <w:proofErr w:type="spellStart"/>
      <w:r>
        <w:t>i</w:t>
      </w:r>
      <w:proofErr w:type="spellEnd"/>
      <w:r>
        <w:t>)(1)</w:t>
      </w:r>
      <w:r w:rsidR="00E366DD">
        <w:t xml:space="preserve">. </w:t>
      </w:r>
      <w:r w:rsidR="00BB687E" w:rsidRPr="00BB687E">
        <w:t>These responses then went</w:t>
      </w:r>
      <w:r>
        <w:t xml:space="preserve"> on to use the Binomial Distribution to calculate all future probabilities in part (a)(ii) and part (b)</w:t>
      </w:r>
    </w:p>
    <w:p w14:paraId="49C3DA85" w14:textId="48F6273F" w:rsidR="00B2646F" w:rsidRDefault="00B2646F" w:rsidP="00BE5510">
      <w:pPr>
        <w:pStyle w:val="SAABullet"/>
      </w:pPr>
      <w:r>
        <w:lastRenderedPageBreak/>
        <w:t>did not take note of the ‘hint’ given in part (a)(</w:t>
      </w:r>
      <w:proofErr w:type="spellStart"/>
      <w:r>
        <w:t>i</w:t>
      </w:r>
      <w:proofErr w:type="spellEnd"/>
      <w:r>
        <w:t xml:space="preserve">)(2) that </w:t>
      </w:r>
      <m:oMath>
        <m:r>
          <w:rPr>
            <w:rFonts w:ascii="Cambria Math" w:hAnsi="Cambria Math"/>
          </w:rPr>
          <m:t>X=0</m:t>
        </m:r>
      </m:oMath>
      <w:r>
        <w:rPr>
          <w:rFonts w:eastAsiaTheme="minorEastAsia"/>
        </w:rPr>
        <w:t xml:space="preserve"> was not possible</w:t>
      </w:r>
      <w:r w:rsidR="00E366DD">
        <w:rPr>
          <w:rFonts w:eastAsiaTheme="minorEastAsia"/>
        </w:rPr>
        <w:t xml:space="preserve">. </w:t>
      </w:r>
      <w:r>
        <w:rPr>
          <w:rFonts w:eastAsiaTheme="minorEastAsia"/>
        </w:rPr>
        <w:t xml:space="preserve">This led to errors </w:t>
      </w:r>
      <w:r>
        <w:t xml:space="preserve">in </w:t>
      </w:r>
      <w:r>
        <w:br/>
        <w:t>part (b)(</w:t>
      </w:r>
      <w:proofErr w:type="spellStart"/>
      <w:r>
        <w:t>i</w:t>
      </w:r>
      <w:proofErr w:type="spellEnd"/>
      <w:r>
        <w:t xml:space="preserve">) and part (b)(ii)(1) when these students included </w:t>
      </w:r>
      <m:oMath>
        <m:r>
          <m:rPr>
            <m:sty m:val="p"/>
          </m:rPr>
          <w:rPr>
            <w:rFonts w:ascii="Cambria Math" w:hAnsi="Cambria Math"/>
          </w:rPr>
          <m:t>Pr⁡</m:t>
        </m:r>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n</m:t>
            </m:r>
          </m:sub>
        </m:sSub>
        <m:r>
          <w:rPr>
            <w:rFonts w:ascii="Cambria Math" w:hAnsi="Cambria Math"/>
          </w:rPr>
          <m:t>=0)</m:t>
        </m:r>
      </m:oMath>
      <w:r>
        <w:rPr>
          <w:rFonts w:eastAsiaTheme="minorEastAsia"/>
        </w:rPr>
        <w:t xml:space="preserve"> in their calculations</w:t>
      </w:r>
    </w:p>
    <w:p w14:paraId="79A308B0" w14:textId="6150FF7B" w:rsidR="00B2646F" w:rsidRDefault="00B2646F" w:rsidP="00BE5510">
      <w:pPr>
        <w:pStyle w:val="SAABullet"/>
      </w:pPr>
      <w:r>
        <w:t>listed the probabilities separately in part (a)(ii)(1), part (a)(ii)(2) and part (b)(</w:t>
      </w:r>
      <w:proofErr w:type="spellStart"/>
      <w:r>
        <w:t>i</w:t>
      </w:r>
      <w:proofErr w:type="spellEnd"/>
      <w:r>
        <w:t>) rather than adding them together</w:t>
      </w:r>
      <w:r w:rsidR="00E366DD">
        <w:t xml:space="preserve">. </w:t>
      </w:r>
      <w:r>
        <w:t>This error seemingly resulted from the colloquial understanding of the word ‘or’ rather than its definition in mathematics</w:t>
      </w:r>
    </w:p>
    <w:p w14:paraId="7E91491C" w14:textId="77777777" w:rsidR="00B2646F" w:rsidRDefault="00B2646F" w:rsidP="00BE5510">
      <w:pPr>
        <w:pStyle w:val="SAABullet"/>
      </w:pPr>
      <w:r>
        <w:t xml:space="preserve">left part (b)(ii)(2) blank, despite having all the required information to solve for </w:t>
      </w:r>
      <m:oMath>
        <m:r>
          <w:rPr>
            <w:rFonts w:ascii="Cambria Math" w:hAnsi="Cambria Math"/>
          </w:rPr>
          <m:t>n</m:t>
        </m:r>
      </m:oMath>
      <w:r>
        <w:rPr>
          <w:rFonts w:eastAsiaTheme="minorEastAsia"/>
        </w:rPr>
        <w:t>, even if they had completed no other parts of the question</w:t>
      </w:r>
    </w:p>
    <w:p w14:paraId="26AEBD12" w14:textId="0353BD38" w:rsidR="00B2646F" w:rsidRDefault="00B2646F" w:rsidP="00BE5510">
      <w:pPr>
        <w:pStyle w:val="SAABullet"/>
      </w:pPr>
      <w:r>
        <w:rPr>
          <w:rFonts w:eastAsiaTheme="minorEastAsia"/>
        </w:rPr>
        <w:t xml:space="preserve">included both solutions to the given quadratic equation in </w:t>
      </w:r>
      <w:r>
        <w:t xml:space="preserve">part (b)(ii)(2), not considering that the variable </w:t>
      </w:r>
      <m:oMath>
        <m:r>
          <w:rPr>
            <w:rFonts w:ascii="Cambria Math" w:hAnsi="Cambria Math"/>
          </w:rPr>
          <m:t>n</m:t>
        </m:r>
      </m:oMath>
      <w:r>
        <w:rPr>
          <w:rFonts w:eastAsiaTheme="minorEastAsia"/>
        </w:rPr>
        <w:t xml:space="preserve"> represented the number of sides of a dice, hence, an integer value is required. It was also stated at the top of the page that </w:t>
      </w:r>
      <m:oMath>
        <m:r>
          <w:rPr>
            <w:rFonts w:ascii="Cambria Math" w:eastAsiaTheme="minorEastAsia" w:hAnsi="Cambria Math"/>
          </w:rPr>
          <m:t>n&gt;2</m:t>
        </m:r>
      </m:oMath>
      <w:r>
        <w:rPr>
          <w:rFonts w:eastAsiaTheme="minorEastAsia"/>
        </w:rPr>
        <w:t xml:space="preserve"> which could have also been used to disregard the answer of </w:t>
      </w:r>
      <m:oMath>
        <m:r>
          <w:rPr>
            <w:rFonts w:ascii="Cambria Math" w:eastAsiaTheme="minorEastAsia" w:hAnsi="Cambria Math"/>
          </w:rPr>
          <m:t>0.5128</m:t>
        </m:r>
      </m:oMath>
      <w:r>
        <w:rPr>
          <w:rFonts w:eastAsiaTheme="minorEastAsia"/>
        </w:rPr>
        <w:t>.</w:t>
      </w:r>
    </w:p>
    <w:p w14:paraId="189825CC" w14:textId="77777777" w:rsidR="00B2646F" w:rsidRDefault="00B2646F" w:rsidP="00BE5510">
      <w:pPr>
        <w:pStyle w:val="SAAQuestion"/>
      </w:pPr>
      <w:r>
        <w:t>Question 9</w:t>
      </w:r>
    </w:p>
    <w:p w14:paraId="1FEEB6D0" w14:textId="1089B96D" w:rsidR="00B2646F" w:rsidRPr="00BE5510" w:rsidRDefault="00B2646F" w:rsidP="00BB687E">
      <w:pPr>
        <w:pStyle w:val="SAAbodytext"/>
      </w:pPr>
      <w:r w:rsidRPr="00BE5510">
        <w:t xml:space="preserve">This question, which focused on integrals, required an understanding of how the value of a definite integral is affected by the position of a function relative to the </w:t>
      </w:r>
      <m:oMath>
        <m:r>
          <w:rPr>
            <w:rFonts w:ascii="Cambria Math" w:hAnsi="Cambria Math"/>
          </w:rPr>
          <m:t>x</m:t>
        </m:r>
      </m:oMath>
      <w:r w:rsidRPr="00BE5510">
        <w:t xml:space="preserve">-axis or to other functions. Most parts of this question were handled well; however, as in previous years, </w:t>
      </w:r>
      <w:r w:rsidR="00BB687E" w:rsidRPr="00BB687E">
        <w:t>many responses showed difficulty distinguishing</w:t>
      </w:r>
      <w:r w:rsidR="00BB687E">
        <w:t xml:space="preserve"> </w:t>
      </w:r>
      <w:r w:rsidRPr="00BE5510">
        <w:t>between definite integrals and areas, leading to errors in interpretation and evaluation. Data indicates that this was one of the better-answered questions in Booklet 2, with approximately 63% of students achieving 4 marks or more.</w:t>
      </w:r>
    </w:p>
    <w:p w14:paraId="23E809C7" w14:textId="77777777" w:rsidR="00B2646F" w:rsidRDefault="00B2646F" w:rsidP="00BE5510">
      <w:pPr>
        <w:pStyle w:val="SAAmoreless"/>
      </w:pPr>
      <w:r>
        <w:t>The more successful responses commonly:</w:t>
      </w:r>
    </w:p>
    <w:p w14:paraId="17CBE452" w14:textId="77777777" w:rsidR="00B2646F" w:rsidRPr="00BE5510" w:rsidRDefault="00B2646F" w:rsidP="00BE5510">
      <w:pPr>
        <w:pStyle w:val="SAABullets"/>
      </w:pPr>
      <w:r w:rsidRPr="00BE5510">
        <w:t xml:space="preserve">used an understanding of how the area above and below the </w:t>
      </w:r>
      <m:oMath>
        <m:r>
          <w:rPr>
            <w:rFonts w:ascii="Cambria Math" w:hAnsi="Cambria Math"/>
          </w:rPr>
          <m:t>x</m:t>
        </m:r>
      </m:oMath>
      <w:r w:rsidRPr="00BE5510">
        <w:t xml:space="preserve">-axis affects the value of the definite integral of </w:t>
      </w:r>
      <m:oMath>
        <m:r>
          <w:rPr>
            <w:rFonts w:ascii="Cambria Math" w:hAnsi="Cambria Math"/>
          </w:rPr>
          <m:t>f</m:t>
        </m:r>
        <m:r>
          <m:rPr>
            <m:sty m:val="p"/>
          </m:rPr>
          <w:rPr>
            <w:rFonts w:ascii="Cambria Math" w:hAnsi="Cambria Math"/>
          </w:rPr>
          <m:t>(</m:t>
        </m:r>
        <m:r>
          <w:rPr>
            <w:rFonts w:ascii="Cambria Math" w:hAnsi="Cambria Math"/>
          </w:rPr>
          <m:t>x</m:t>
        </m:r>
        <m:r>
          <m:rPr>
            <m:sty m:val="p"/>
          </m:rPr>
          <w:rPr>
            <w:rFonts w:ascii="Cambria Math" w:hAnsi="Cambria Math"/>
          </w:rPr>
          <m:t>)</m:t>
        </m:r>
      </m:oMath>
      <w:r w:rsidRPr="00BE5510">
        <w:t xml:space="preserve"> in part (a) and part (b) rather than having to rely on technology</w:t>
      </w:r>
    </w:p>
    <w:p w14:paraId="0402ED24" w14:textId="77777777" w:rsidR="00B2646F" w:rsidRPr="00BE5510" w:rsidRDefault="00B2646F" w:rsidP="00BE5510">
      <w:pPr>
        <w:pStyle w:val="SAABullets"/>
      </w:pPr>
      <w:r w:rsidRPr="00BE5510">
        <w:t>used the given information at the beginning of the question on page 7, along with the dot points below Figure 9 to correctly answer part (c), stating their answer correct to three significant figures</w:t>
      </w:r>
    </w:p>
    <w:p w14:paraId="7F503F43" w14:textId="77777777" w:rsidR="00B2646F" w:rsidRPr="00BE5510" w:rsidRDefault="00B2646F" w:rsidP="00BE5510">
      <w:pPr>
        <w:pStyle w:val="SAABullets"/>
      </w:pPr>
      <w:r w:rsidRPr="00BE5510">
        <w:t xml:space="preserve">determined which regions the integral statement in part (d) required (i.e. </w:t>
      </w:r>
      <m:oMath>
        <m:r>
          <w:rPr>
            <w:rFonts w:ascii="Cambria Math" w:hAnsi="Cambria Math"/>
          </w:rPr>
          <m:t>D</m:t>
        </m:r>
      </m:oMath>
      <w:r w:rsidRPr="00BE5510">
        <w:t xml:space="preserve">, </w:t>
      </w:r>
      <m:oMath>
        <m:r>
          <w:rPr>
            <w:rFonts w:ascii="Cambria Math" w:hAnsi="Cambria Math"/>
          </w:rPr>
          <m:t>E</m:t>
        </m:r>
      </m:oMath>
      <w:r w:rsidRPr="00BE5510">
        <w:t xml:space="preserve"> and </w:t>
      </w:r>
      <m:oMath>
        <m:r>
          <w:rPr>
            <w:rFonts w:ascii="Cambria Math" w:hAnsi="Cambria Math"/>
          </w:rPr>
          <m:t>F</m:t>
        </m:r>
      </m:oMath>
      <w:r w:rsidRPr="00BE5510">
        <w:t>) to correctly evaluate it</w:t>
      </w:r>
    </w:p>
    <w:p w14:paraId="4497EE97" w14:textId="0DCC2043" w:rsidR="00B2646F" w:rsidRPr="00BE5510" w:rsidRDefault="00B2646F" w:rsidP="00BE5510">
      <w:pPr>
        <w:pStyle w:val="SAABullets"/>
      </w:pPr>
      <w:r w:rsidRPr="00BE5510">
        <w:t xml:space="preserve">used a ruler to sketch a horizontal line in part (g) that passed through the intersection point between </w:t>
      </w:r>
      <m:oMath>
        <m:r>
          <w:rPr>
            <w:rFonts w:ascii="Cambria Math" w:hAnsi="Cambria Math"/>
          </w:rPr>
          <m:t>f</m:t>
        </m:r>
        <m:d>
          <m:dPr>
            <m:ctrlPr>
              <w:rPr>
                <w:rFonts w:ascii="Cambria Math" w:hAnsi="Cambria Math"/>
              </w:rPr>
            </m:ctrlPr>
          </m:dPr>
          <m:e>
            <m:r>
              <w:rPr>
                <w:rFonts w:ascii="Cambria Math" w:hAnsi="Cambria Math"/>
              </w:rPr>
              <m:t>x</m:t>
            </m:r>
          </m:e>
        </m:d>
      </m:oMath>
      <w:r w:rsidRPr="00BE5510">
        <w:t xml:space="preserve"> and </w:t>
      </w:r>
      <m:oMath>
        <m:r>
          <w:rPr>
            <w:rFonts w:ascii="Cambria Math" w:hAnsi="Cambria Math"/>
          </w:rPr>
          <m:t>g</m:t>
        </m:r>
        <m:r>
          <m:rPr>
            <m:sty m:val="p"/>
          </m:rPr>
          <w:rPr>
            <w:rFonts w:ascii="Cambria Math" w:hAnsi="Cambria Math"/>
          </w:rPr>
          <m:t>(</m:t>
        </m:r>
        <m:r>
          <w:rPr>
            <w:rFonts w:ascii="Cambria Math" w:hAnsi="Cambria Math"/>
          </w:rPr>
          <m:t>x</m:t>
        </m:r>
        <m:r>
          <m:rPr>
            <m:sty m:val="p"/>
          </m:rPr>
          <w:rPr>
            <w:rFonts w:ascii="Cambria Math" w:hAnsi="Cambria Math"/>
          </w:rPr>
          <m:t>)</m:t>
        </m:r>
      </m:oMath>
      <w:r w:rsidRPr="00BE5510">
        <w:t xml:space="preserve"> in Figure 10</w:t>
      </w:r>
      <w:r w:rsidR="00E366DD" w:rsidRPr="00BE5510">
        <w:t xml:space="preserve">. </w:t>
      </w:r>
      <w:r w:rsidRPr="00BE5510">
        <w:t xml:space="preserve">Allowing for error, a correct answer should have been vertically closer to the </w:t>
      </w:r>
      <w:r w:rsidR="00594534">
        <w:t xml:space="preserve">right-most </w:t>
      </w:r>
      <w:r w:rsidRPr="00BE5510">
        <w:t xml:space="preserve">intersection point between </w:t>
      </w:r>
      <m:oMath>
        <m:r>
          <w:rPr>
            <w:rFonts w:ascii="Cambria Math" w:hAnsi="Cambria Math"/>
          </w:rPr>
          <m:t>f</m:t>
        </m:r>
        <m:r>
          <m:rPr>
            <m:sty m:val="p"/>
          </m:rPr>
          <w:rPr>
            <w:rFonts w:ascii="Cambria Math" w:hAnsi="Cambria Math"/>
          </w:rPr>
          <m:t>(</m:t>
        </m:r>
        <m:r>
          <w:rPr>
            <w:rFonts w:ascii="Cambria Math" w:hAnsi="Cambria Math"/>
          </w:rPr>
          <m:t>x</m:t>
        </m:r>
        <m:r>
          <m:rPr>
            <m:sty m:val="p"/>
          </m:rPr>
          <w:rPr>
            <w:rFonts w:ascii="Cambria Math" w:hAnsi="Cambria Math"/>
          </w:rPr>
          <m:t>)</m:t>
        </m:r>
      </m:oMath>
      <w:r w:rsidRPr="00BE5510">
        <w:t xml:space="preserve"> and </w:t>
      </w:r>
      <m:oMath>
        <m:r>
          <w:rPr>
            <w:rFonts w:ascii="Cambria Math" w:hAnsi="Cambria Math"/>
          </w:rPr>
          <m:t>g</m:t>
        </m:r>
        <m:r>
          <m:rPr>
            <m:sty m:val="p"/>
          </m:rPr>
          <w:rPr>
            <w:rFonts w:ascii="Cambria Math" w:hAnsi="Cambria Math"/>
          </w:rPr>
          <m:t>(</m:t>
        </m:r>
        <m:r>
          <w:rPr>
            <w:rFonts w:ascii="Cambria Math" w:hAnsi="Cambria Math"/>
          </w:rPr>
          <m:t>x</m:t>
        </m:r>
        <m:r>
          <m:rPr>
            <m:sty m:val="p"/>
          </m:rPr>
          <w:rPr>
            <w:rFonts w:ascii="Cambria Math" w:hAnsi="Cambria Math"/>
          </w:rPr>
          <m:t>)</m:t>
        </m:r>
      </m:oMath>
      <w:r w:rsidRPr="00BE5510">
        <w:t xml:space="preserve"> than the right endpoint of </w:t>
      </w:r>
      <m:oMath>
        <m:r>
          <w:rPr>
            <w:rFonts w:ascii="Cambria Math" w:hAnsi="Cambria Math"/>
          </w:rPr>
          <m:t>g</m:t>
        </m:r>
        <m:r>
          <m:rPr>
            <m:sty m:val="p"/>
          </m:rPr>
          <w:rPr>
            <w:rFonts w:ascii="Cambria Math" w:hAnsi="Cambria Math"/>
          </w:rPr>
          <m:t>(</m:t>
        </m:r>
        <m:r>
          <w:rPr>
            <w:rFonts w:ascii="Cambria Math" w:hAnsi="Cambria Math"/>
          </w:rPr>
          <m:t>x</m:t>
        </m:r>
        <m:r>
          <m:rPr>
            <m:sty m:val="p"/>
          </m:rPr>
          <w:rPr>
            <w:rFonts w:ascii="Cambria Math" w:hAnsi="Cambria Math"/>
          </w:rPr>
          <m:t>)</m:t>
        </m:r>
      </m:oMath>
    </w:p>
    <w:p w14:paraId="0FF4448E" w14:textId="22FC0AA3" w:rsidR="00BE5510" w:rsidRDefault="00B2646F" w:rsidP="00BE5510">
      <w:pPr>
        <w:pStyle w:val="SAABullets"/>
      </w:pPr>
      <w:r w:rsidRPr="00BE5510">
        <w:t xml:space="preserve">showed notation which highlighted that the sketched horizontal line in part (g) was an equal distance below the </w:t>
      </w:r>
      <m:oMath>
        <m:r>
          <w:rPr>
            <w:rFonts w:ascii="Cambria Math" w:hAnsi="Cambria Math"/>
          </w:rPr>
          <m:t>x</m:t>
        </m:r>
      </m:oMath>
      <w:r w:rsidRPr="00BE5510">
        <w:t xml:space="preserve">-axis as </w:t>
      </w:r>
      <m:oMath>
        <m:r>
          <w:rPr>
            <w:rFonts w:ascii="Cambria Math" w:hAnsi="Cambria Math"/>
          </w:rPr>
          <m:t>h</m:t>
        </m:r>
        <m:r>
          <m:rPr>
            <m:sty m:val="p"/>
          </m:rPr>
          <w:rPr>
            <w:rFonts w:ascii="Cambria Math" w:hAnsi="Cambria Math"/>
          </w:rPr>
          <m:t>(</m:t>
        </m:r>
        <m:r>
          <w:rPr>
            <w:rFonts w:ascii="Cambria Math" w:hAnsi="Cambria Math"/>
          </w:rPr>
          <m:t>x</m:t>
        </m:r>
        <m:r>
          <m:rPr>
            <m:sty m:val="p"/>
          </m:rPr>
          <w:rPr>
            <w:rFonts w:ascii="Cambria Math" w:hAnsi="Cambria Math"/>
          </w:rPr>
          <m:t>)</m:t>
        </m:r>
      </m:oMath>
      <w:r w:rsidRPr="00BE5510">
        <w:t xml:space="preserve"> is above the </w:t>
      </w:r>
      <m:oMath>
        <m:r>
          <w:rPr>
            <w:rFonts w:ascii="Cambria Math" w:hAnsi="Cambria Math"/>
          </w:rPr>
          <m:t>x</m:t>
        </m:r>
      </m:oMath>
      <w:r w:rsidRPr="00BE5510">
        <w:t>-axis</w:t>
      </w:r>
      <w:r w:rsidR="00E366DD" w:rsidRPr="00BE5510">
        <w:t xml:space="preserve">. </w:t>
      </w:r>
      <w:r w:rsidRPr="00BE5510">
        <w:t xml:space="preserve">This was often represented by a new vertical dashed line in Figure 10 and notation denoting it was the same length as the existing dashed line in Figure 10. </w:t>
      </w:r>
    </w:p>
    <w:p w14:paraId="48BD440B" w14:textId="3ACAC4FF" w:rsidR="00B2646F" w:rsidRDefault="00B2646F" w:rsidP="00BE5510">
      <w:pPr>
        <w:pStyle w:val="SAAmoreless"/>
      </w:pPr>
      <w:r>
        <w:t>The less successful responses commonly:</w:t>
      </w:r>
    </w:p>
    <w:p w14:paraId="1FE8418D" w14:textId="77777777" w:rsidR="00B2646F" w:rsidRDefault="00B2646F" w:rsidP="00BE5510">
      <w:pPr>
        <w:pStyle w:val="SAABullet"/>
      </w:pPr>
      <w:r>
        <w:t xml:space="preserve">added the two shaded regions together in part (a) resulting in an answer of </w:t>
      </w:r>
      <m:oMath>
        <m:r>
          <w:rPr>
            <w:rFonts w:ascii="Cambria Math" w:hAnsi="Cambria Math"/>
          </w:rPr>
          <m:t>4</m:t>
        </m:r>
      </m:oMath>
    </w:p>
    <w:p w14:paraId="2C2772C0" w14:textId="787A849A" w:rsidR="00B2646F" w:rsidRDefault="00B2646F" w:rsidP="00BB687E">
      <w:pPr>
        <w:pStyle w:val="SAABullet"/>
      </w:pPr>
      <w:r>
        <w:t xml:space="preserve">listed </w:t>
      </w:r>
      <m:oMath>
        <m:f>
          <m:fPr>
            <m:ctrlPr>
              <w:rPr>
                <w:rFonts w:ascii="Cambria Math" w:hAnsi="Cambria Math"/>
                <w:i/>
              </w:rPr>
            </m:ctrlPr>
          </m:fPr>
          <m:num>
            <m:r>
              <w:rPr>
                <w:rFonts w:ascii="Cambria Math" w:hAnsi="Cambria Math"/>
              </w:rPr>
              <m:t>π</m:t>
            </m:r>
          </m:num>
          <m:den>
            <m:r>
              <w:rPr>
                <w:rFonts w:ascii="Cambria Math" w:hAnsi="Cambria Math"/>
              </w:rPr>
              <m:t>2</m:t>
            </m:r>
          </m:den>
        </m:f>
      </m:oMath>
      <w:r>
        <w:rPr>
          <w:rFonts w:eastAsiaTheme="minorEastAsia"/>
        </w:rPr>
        <w:t xml:space="preserve"> as their answer to part (b)</w:t>
      </w:r>
      <w:r w:rsidR="00E366DD">
        <w:rPr>
          <w:rFonts w:eastAsiaTheme="minorEastAsia"/>
        </w:rPr>
        <w:t xml:space="preserve">. </w:t>
      </w:r>
      <w:r>
        <w:rPr>
          <w:rFonts w:eastAsiaTheme="minorEastAsia"/>
        </w:rPr>
        <w:t xml:space="preserve">This </w:t>
      </w:r>
      <w:r w:rsidR="00BB687E" w:rsidRPr="00BB687E">
        <w:rPr>
          <w:rFonts w:eastAsiaTheme="minorEastAsia"/>
        </w:rPr>
        <w:t>may have resulted</w:t>
      </w:r>
      <w:r w:rsidR="00BB687E">
        <w:rPr>
          <w:rFonts w:eastAsiaTheme="minorEastAsia"/>
        </w:rPr>
        <w:t xml:space="preserve"> </w:t>
      </w:r>
      <w:r>
        <w:rPr>
          <w:rFonts w:eastAsiaTheme="minorEastAsia"/>
        </w:rPr>
        <w:t xml:space="preserve">from determining the </w:t>
      </w:r>
      <m:oMath>
        <m:r>
          <w:rPr>
            <w:rFonts w:ascii="Cambria Math" w:eastAsiaTheme="minorEastAsia" w:hAnsi="Cambria Math"/>
          </w:rPr>
          <m:t>x</m:t>
        </m:r>
      </m:oMath>
      <w:r>
        <w:rPr>
          <w:rFonts w:eastAsiaTheme="minorEastAsia"/>
        </w:rPr>
        <w:t xml:space="preserve">-coordinate of the maximum of </w:t>
      </w:r>
      <m:oMath>
        <m:r>
          <w:rPr>
            <w:rFonts w:ascii="Cambria Math" w:eastAsiaTheme="minorEastAsia" w:hAnsi="Cambria Math"/>
          </w:rPr>
          <m:t>y=</m:t>
        </m:r>
        <m:func>
          <m:funcPr>
            <m:ctrlPr>
              <w:rPr>
                <w:rFonts w:ascii="Cambria Math" w:eastAsiaTheme="minorEastAsia" w:hAnsi="Cambria Math"/>
                <w:i/>
              </w:rPr>
            </m:ctrlPr>
          </m:funcPr>
          <m:fName>
            <m:r>
              <m:rPr>
                <m:sty m:val="p"/>
              </m:rPr>
              <w:rPr>
                <w:rFonts w:ascii="Cambria Math" w:eastAsiaTheme="minorEastAsia" w:hAnsi="Cambria Math"/>
              </w:rPr>
              <m:t>sin</m:t>
            </m:r>
          </m:fName>
          <m:e>
            <m:r>
              <w:rPr>
                <w:rFonts w:ascii="Cambria Math" w:eastAsiaTheme="minorEastAsia" w:hAnsi="Cambria Math"/>
              </w:rPr>
              <m:t>x</m:t>
            </m:r>
          </m:e>
        </m:func>
      </m:oMath>
      <w:r>
        <w:rPr>
          <w:rFonts w:eastAsiaTheme="minorEastAsia"/>
        </w:rPr>
        <w:t>, rather than maximising the given integral statement</w:t>
      </w:r>
    </w:p>
    <w:p w14:paraId="0069EFE5" w14:textId="31D02445" w:rsidR="00B2646F" w:rsidRDefault="00B2646F" w:rsidP="00BE5510">
      <w:pPr>
        <w:pStyle w:val="SAABullet"/>
      </w:pPr>
      <w:r>
        <w:t>listed an incorrect value for their answer in part (d). Some common incorrect answers were</w:t>
      </w:r>
      <w:r w:rsidR="00BE5510">
        <w:t>:</w:t>
      </w:r>
    </w:p>
    <w:p w14:paraId="7B24C3E2" w14:textId="77777777" w:rsidR="00B2646F" w:rsidRDefault="00B2646F" w:rsidP="00BE5510">
      <w:pPr>
        <w:pStyle w:val="SAABullet2"/>
      </w:pPr>
      <m:oMath>
        <m:r>
          <w:rPr>
            <w:rFonts w:ascii="Cambria Math" w:hAnsi="Cambria Math"/>
          </w:rPr>
          <m:t>1.2</m:t>
        </m:r>
      </m:oMath>
      <w:r>
        <w:t xml:space="preserve">, which results from not including the regions of </w:t>
      </w:r>
      <m:oMath>
        <m:r>
          <w:rPr>
            <w:rFonts w:ascii="Cambria Math" w:hAnsi="Cambria Math"/>
          </w:rPr>
          <m:t>E</m:t>
        </m:r>
      </m:oMath>
      <w:r>
        <w:t xml:space="preserve"> and </w:t>
      </w:r>
      <m:oMath>
        <m:r>
          <w:rPr>
            <w:rFonts w:ascii="Cambria Math" w:hAnsi="Cambria Math"/>
          </w:rPr>
          <m:t>F</m:t>
        </m:r>
      </m:oMath>
    </w:p>
    <w:p w14:paraId="4C7BAEF0" w14:textId="77777777" w:rsidR="00B2646F" w:rsidRDefault="00B2646F" w:rsidP="00BE5510">
      <w:pPr>
        <w:pStyle w:val="SAABullet2"/>
      </w:pPr>
      <m:oMath>
        <m:r>
          <w:rPr>
            <w:rFonts w:ascii="Cambria Math" w:hAnsi="Cambria Math"/>
          </w:rPr>
          <m:t>-0.8</m:t>
        </m:r>
      </m:oMath>
      <w:r>
        <w:t xml:space="preserve">, which incorrectly treats the regions of </w:t>
      </w:r>
      <m:oMath>
        <m:r>
          <w:rPr>
            <w:rFonts w:ascii="Cambria Math" w:hAnsi="Cambria Math"/>
          </w:rPr>
          <m:t>E</m:t>
        </m:r>
      </m:oMath>
      <w:r>
        <w:t xml:space="preserve"> and </w:t>
      </w:r>
      <m:oMath>
        <m:r>
          <w:rPr>
            <w:rFonts w:ascii="Cambria Math" w:hAnsi="Cambria Math"/>
          </w:rPr>
          <m:t>F</m:t>
        </m:r>
      </m:oMath>
      <w:r>
        <w:t xml:space="preserve"> as having negative area (possibly as they were below the </w:t>
      </w:r>
      <m:oMath>
        <m:r>
          <w:rPr>
            <w:rFonts w:ascii="Cambria Math" w:hAnsi="Cambria Math"/>
          </w:rPr>
          <m:t>x</m:t>
        </m:r>
      </m:oMath>
      <w:r>
        <w:t>-axis).</w:t>
      </w:r>
    </w:p>
    <w:p w14:paraId="3FF2FC63" w14:textId="190C2C69" w:rsidR="00B2646F" w:rsidRDefault="00B2646F" w:rsidP="00BE5510">
      <w:pPr>
        <w:pStyle w:val="SAABullet"/>
      </w:pPr>
      <w:r>
        <w:t>gave an incorrect integral statement in part (e). Common errors were</w:t>
      </w:r>
      <w:r w:rsidR="00BE5510">
        <w:t>:</w:t>
      </w:r>
    </w:p>
    <w:p w14:paraId="67C93B94" w14:textId="77777777" w:rsidR="00B2646F" w:rsidRDefault="00B2646F" w:rsidP="00BE5510">
      <w:pPr>
        <w:pStyle w:val="SAABullet2"/>
      </w:pPr>
      <w:r>
        <w:t xml:space="preserve">incorrectly having an upper bound of </w:t>
      </w:r>
      <m:oMath>
        <m:r>
          <w:rPr>
            <w:rFonts w:ascii="Cambria Math" w:hAnsi="Cambria Math"/>
          </w:rPr>
          <m:t>2π</m:t>
        </m:r>
      </m:oMath>
      <w:r>
        <w:rPr>
          <w:rFonts w:eastAsiaTheme="minorEastAsia"/>
        </w:rPr>
        <w:t xml:space="preserve"> instead of </w:t>
      </w:r>
      <m:oMath>
        <m:sSub>
          <m:sSubPr>
            <m:ctrlPr>
              <w:rPr>
                <w:rFonts w:ascii="Cambria Math" w:eastAsiaTheme="minorEastAsia" w:hAnsi="Cambria Math"/>
                <w:i/>
                <w:color w:val="000000" w:themeColor="text1"/>
              </w:rPr>
            </m:ctrlPr>
          </m:sSubPr>
          <m:e>
            <m:r>
              <w:rPr>
                <w:rFonts w:ascii="Cambria Math" w:eastAsiaTheme="minorEastAsia" w:hAnsi="Cambria Math"/>
              </w:rPr>
              <m:t>p</m:t>
            </m:r>
          </m:e>
          <m:sub>
            <m:r>
              <w:rPr>
                <w:rFonts w:ascii="Cambria Math" w:eastAsiaTheme="minorEastAsia" w:hAnsi="Cambria Math"/>
              </w:rPr>
              <m:t>3</m:t>
            </m:r>
          </m:sub>
        </m:sSub>
      </m:oMath>
    </w:p>
    <w:p w14:paraId="2DFF7FE6" w14:textId="77777777" w:rsidR="00B2646F" w:rsidRDefault="00B2646F" w:rsidP="00BE5510">
      <w:pPr>
        <w:pStyle w:val="SAABullet2"/>
      </w:pPr>
      <w:r>
        <w:rPr>
          <w:rFonts w:eastAsiaTheme="minorEastAsia"/>
        </w:rPr>
        <w:t xml:space="preserve">listing the wrong functions </w:t>
      </w:r>
    </w:p>
    <w:p w14:paraId="3DDA59F2" w14:textId="7786B40B" w:rsidR="00B2646F" w:rsidRDefault="00B2646F" w:rsidP="00BE5510">
      <w:pPr>
        <w:pStyle w:val="SAABullet2"/>
      </w:pPr>
      <w:r>
        <w:rPr>
          <w:rFonts w:eastAsiaTheme="minorEastAsia"/>
        </w:rPr>
        <w:t xml:space="preserve">having the correct functions subtracted in the wrong order (i.e. </w:t>
      </w:r>
      <m:oMath>
        <m:nary>
          <m:naryPr>
            <m:ctrlPr>
              <w:rPr>
                <w:rFonts w:ascii="Cambria Math" w:eastAsiaTheme="minorEastAsia" w:hAnsi="Cambria Math"/>
                <w:i/>
                <w:color w:val="000000" w:themeColor="text1"/>
              </w:rPr>
            </m:ctrlPr>
          </m:naryPr>
          <m:sub>
            <m:r>
              <w:rPr>
                <w:rFonts w:ascii="Cambria Math" w:eastAsiaTheme="minorEastAsia" w:hAnsi="Cambria Math"/>
              </w:rPr>
              <m:t>π</m:t>
            </m:r>
          </m:sub>
          <m:sup>
            <m:sSub>
              <m:sSubPr>
                <m:ctrlPr>
                  <w:rPr>
                    <w:rFonts w:ascii="Cambria Math" w:eastAsiaTheme="minorEastAsia" w:hAnsi="Cambria Math"/>
                    <w:i/>
                    <w:color w:val="000000" w:themeColor="text1"/>
                  </w:rPr>
                </m:ctrlPr>
              </m:sSubPr>
              <m:e>
                <m:r>
                  <w:rPr>
                    <w:rFonts w:ascii="Cambria Math" w:eastAsiaTheme="minorEastAsia" w:hAnsi="Cambria Math"/>
                  </w:rPr>
                  <m:t>p</m:t>
                </m:r>
              </m:e>
              <m:sub>
                <m:r>
                  <w:rPr>
                    <w:rFonts w:ascii="Cambria Math" w:eastAsiaTheme="minorEastAsia" w:hAnsi="Cambria Math"/>
                  </w:rPr>
                  <m:t>3</m:t>
                </m:r>
              </m:sub>
            </m:sSub>
          </m:sup>
          <m:e>
            <m:r>
              <w:rPr>
                <w:rFonts w:ascii="Cambria Math" w:eastAsiaTheme="minorEastAsia" w:hAnsi="Cambria Math"/>
              </w:rPr>
              <m:t>f</m:t>
            </m:r>
            <m:d>
              <m:dPr>
                <m:ctrlPr>
                  <w:rPr>
                    <w:rFonts w:ascii="Cambria Math" w:eastAsiaTheme="minorEastAsia" w:hAnsi="Cambria Math"/>
                    <w:i/>
                    <w:color w:val="000000" w:themeColor="text1"/>
                  </w:rPr>
                </m:ctrlPr>
              </m:dPr>
              <m:e>
                <m:r>
                  <w:rPr>
                    <w:rFonts w:ascii="Cambria Math" w:eastAsiaTheme="minorEastAsia" w:hAnsi="Cambria Math"/>
                  </w:rPr>
                  <m:t>x</m:t>
                </m:r>
              </m:e>
            </m:d>
            <m:r>
              <w:rPr>
                <w:rFonts w:ascii="Cambria Math" w:eastAsiaTheme="minorEastAsia" w:hAnsi="Cambria Math"/>
              </w:rPr>
              <m:t>-g(x)</m:t>
            </m:r>
          </m:e>
        </m:nary>
        <m:r>
          <m:rPr>
            <m:sty m:val="p"/>
          </m:rPr>
          <w:rPr>
            <w:rFonts w:ascii="Cambria Math" w:eastAsiaTheme="minorEastAsia" w:hAnsi="Cambria Math"/>
          </w:rPr>
          <m:t>d</m:t>
        </m:r>
        <m:r>
          <w:rPr>
            <w:rFonts w:ascii="Cambria Math" w:eastAsiaTheme="minorEastAsia" w:hAnsi="Cambria Math"/>
          </w:rPr>
          <m:t>x</m:t>
        </m:r>
      </m:oMath>
      <w:r>
        <w:rPr>
          <w:rFonts w:eastAsiaTheme="minorEastAsia"/>
        </w:rPr>
        <w:t xml:space="preserve"> which results in the negative of the requested area)</w:t>
      </w:r>
      <w:r w:rsidR="00665C24">
        <w:rPr>
          <w:rFonts w:eastAsiaTheme="minorEastAsia"/>
        </w:rPr>
        <w:t>.</w:t>
      </w:r>
    </w:p>
    <w:p w14:paraId="7CB96603" w14:textId="6C7E490E" w:rsidR="00B2646F" w:rsidRDefault="00B2646F" w:rsidP="00B2646F">
      <w:pPr>
        <w:pStyle w:val="SAABullets"/>
        <w:numPr>
          <w:ilvl w:val="0"/>
          <w:numId w:val="0"/>
        </w:numPr>
        <w:ind w:left="357"/>
      </w:pPr>
      <w:r>
        <w:t>It</w:t>
      </w:r>
      <w:r w:rsidR="00665C24">
        <w:t xml:space="preserve"> i</w:t>
      </w:r>
      <w:r>
        <w:t>s worth noting that there were many possible paths to a correct solution here</w:t>
      </w:r>
      <w:r w:rsidR="00E366DD">
        <w:t xml:space="preserve">. </w:t>
      </w:r>
      <w:r>
        <w:t xml:space="preserve">Some examples of alternative correct solutions are </w:t>
      </w:r>
      <m:oMath>
        <m:nary>
          <m:naryPr>
            <m:ctrlPr>
              <w:rPr>
                <w:rFonts w:ascii="Cambria Math" w:eastAsiaTheme="minorEastAsia" w:hAnsi="Cambria Math"/>
                <w:i/>
              </w:rPr>
            </m:ctrlPr>
          </m:naryPr>
          <m:sub>
            <m:r>
              <w:rPr>
                <w:rFonts w:ascii="Cambria Math" w:eastAsiaTheme="minorEastAsia" w:hAnsi="Cambria Math"/>
              </w:rPr>
              <m:t>π</m:t>
            </m:r>
          </m:sub>
          <m:sup>
            <m:r>
              <w:rPr>
                <w:rFonts w:ascii="Cambria Math" w:eastAsiaTheme="minorEastAsia" w:hAnsi="Cambria Math"/>
              </w:rPr>
              <m:t>2π</m:t>
            </m:r>
          </m:sup>
          <m:e>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e>
        </m:nary>
        <m:r>
          <m:rPr>
            <m:sty m:val="p"/>
          </m:rPr>
          <w:rPr>
            <w:rFonts w:ascii="Cambria Math" w:eastAsiaTheme="minorEastAsia" w:hAnsi="Cambria Math"/>
          </w:rPr>
          <m:t>d</m:t>
        </m:r>
        <m:r>
          <w:rPr>
            <w:rFonts w:ascii="Cambria Math" w:eastAsiaTheme="minorEastAsia" w:hAnsi="Cambria Math"/>
          </w:rPr>
          <m:t>x-</m:t>
        </m:r>
        <m:nary>
          <m:naryPr>
            <m:ctrlPr>
              <w:rPr>
                <w:rFonts w:ascii="Cambria Math" w:eastAsiaTheme="minorEastAsia" w:hAnsi="Cambria Math"/>
                <w:i/>
              </w:rPr>
            </m:ctrlPr>
          </m:naryPr>
          <m:sub>
            <m:r>
              <w:rPr>
                <w:rFonts w:ascii="Cambria Math" w:eastAsiaTheme="minorEastAsia" w:hAnsi="Cambria Math"/>
              </w:rPr>
              <m:t>π</m:t>
            </m:r>
          </m:sub>
          <m:sup>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3</m:t>
                </m:r>
              </m:sub>
            </m:sSub>
          </m:sup>
          <m:e>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x</m:t>
                </m:r>
              </m:e>
            </m:d>
          </m:e>
        </m:nary>
        <m:r>
          <m:rPr>
            <m:sty m:val="p"/>
          </m:rPr>
          <w:rPr>
            <w:rFonts w:ascii="Cambria Math" w:eastAsiaTheme="minorEastAsia" w:hAnsi="Cambria Math"/>
          </w:rPr>
          <m:t>d</m:t>
        </m:r>
        <m:r>
          <w:rPr>
            <w:rFonts w:ascii="Cambria Math" w:eastAsiaTheme="minorEastAsia" w:hAnsi="Cambria Math"/>
          </w:rPr>
          <m:t>x-</m:t>
        </m:r>
        <m:nary>
          <m:naryPr>
            <m:ctrlPr>
              <w:rPr>
                <w:rFonts w:ascii="Cambria Math" w:eastAsiaTheme="minorEastAsia" w:hAnsi="Cambria Math"/>
                <w:i/>
              </w:rPr>
            </m:ctrlPr>
          </m:naryPr>
          <m:sub>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3</m:t>
                </m:r>
              </m:sub>
            </m:sSub>
          </m:sub>
          <m:sup>
            <m:r>
              <w:rPr>
                <w:rFonts w:ascii="Cambria Math" w:eastAsiaTheme="minorEastAsia" w:hAnsi="Cambria Math"/>
              </w:rPr>
              <m:t>2π</m:t>
            </m:r>
          </m:sup>
          <m:e>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e>
        </m:nary>
        <m:r>
          <m:rPr>
            <m:sty m:val="p"/>
          </m:rPr>
          <w:rPr>
            <w:rFonts w:ascii="Cambria Math" w:eastAsiaTheme="minorEastAsia" w:hAnsi="Cambria Math"/>
          </w:rPr>
          <m:t>d</m:t>
        </m:r>
        <m:r>
          <w:rPr>
            <w:rFonts w:ascii="Cambria Math" w:eastAsiaTheme="minorEastAsia" w:hAnsi="Cambria Math"/>
          </w:rPr>
          <m:t>x</m:t>
        </m:r>
      </m:oMath>
      <w:r>
        <w:rPr>
          <w:rFonts w:eastAsiaTheme="minorEastAsia"/>
        </w:rPr>
        <w:t xml:space="preserve"> or </w:t>
      </w:r>
      <m:oMath>
        <m:nary>
          <m:naryPr>
            <m:ctrlPr>
              <w:rPr>
                <w:rFonts w:ascii="Cambria Math" w:eastAsiaTheme="minorEastAsia" w:hAnsi="Cambria Math"/>
                <w:i/>
              </w:rPr>
            </m:ctrlPr>
          </m:naryPr>
          <m:sub>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1</m:t>
                </m:r>
              </m:sub>
            </m:sSub>
          </m:sub>
          <m:sup>
            <m:r>
              <w:rPr>
                <w:rFonts w:ascii="Cambria Math" w:eastAsiaTheme="minorEastAsia" w:hAnsi="Cambria Math"/>
              </w:rPr>
              <m:t>π</m:t>
            </m:r>
          </m:sup>
          <m:e>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-g(x)</m:t>
            </m:r>
          </m:e>
        </m:nary>
        <m:r>
          <m:rPr>
            <m:sty m:val="p"/>
          </m:rPr>
          <w:rPr>
            <w:rFonts w:ascii="Cambria Math" w:eastAsiaTheme="minorEastAsia" w:hAnsi="Cambria Math"/>
          </w:rPr>
          <m:t>d</m:t>
        </m:r>
        <m:r>
          <w:rPr>
            <w:rFonts w:ascii="Cambria Math" w:eastAsiaTheme="minorEastAsia" w:hAnsi="Cambria Math"/>
          </w:rPr>
          <m:t>x</m:t>
        </m:r>
      </m:oMath>
      <w:r>
        <w:rPr>
          <w:rFonts w:eastAsiaTheme="minorEastAsia"/>
        </w:rPr>
        <w:t>, just to name a few.</w:t>
      </w:r>
    </w:p>
    <w:p w14:paraId="6F8B7DC5" w14:textId="0AE8BF1F" w:rsidR="00350658" w:rsidRDefault="00B2646F" w:rsidP="00BE5510">
      <w:pPr>
        <w:pStyle w:val="SAABullet"/>
      </w:pPr>
      <w:r>
        <w:t xml:space="preserve">ignored the instruction of ‘horizontal line’ in part (g), with some students drawing oblique lines, or the graph of </w:t>
      </w:r>
      <m:oMath>
        <m:r>
          <w:rPr>
            <w:rFonts w:ascii="Cambria Math" w:hAnsi="Cambria Math"/>
          </w:rPr>
          <m:t>y=-</m:t>
        </m:r>
        <m:func>
          <m:funcPr>
            <m:ctrlPr>
              <w:rPr>
                <w:rFonts w:ascii="Cambria Math" w:hAnsi="Cambria Math"/>
                <w:i/>
              </w:rPr>
            </m:ctrlPr>
          </m:funcPr>
          <m:fName>
            <m:r>
              <m:rPr>
                <m:sty m:val="p"/>
              </m:rPr>
              <w:rPr>
                <w:rFonts w:ascii="Cambria Math" w:hAnsi="Cambria Math"/>
              </w:rPr>
              <m:t>sin</m:t>
            </m:r>
          </m:fName>
          <m:e>
            <m:r>
              <w:rPr>
                <w:rFonts w:ascii="Cambria Math" w:hAnsi="Cambria Math"/>
              </w:rPr>
              <m:t>x</m:t>
            </m:r>
          </m:e>
        </m:func>
      </m:oMath>
      <w:r>
        <w:t>.</w:t>
      </w:r>
    </w:p>
    <w:p w14:paraId="1DF8D19E" w14:textId="77777777" w:rsidR="00350658" w:rsidRDefault="00350658">
      <w:pPr>
        <w:rPr>
          <w:color w:val="000000" w:themeColor="text1"/>
        </w:rPr>
      </w:pPr>
      <w:r>
        <w:br w:type="page"/>
      </w:r>
    </w:p>
    <w:p w14:paraId="5564D1FF" w14:textId="77777777" w:rsidR="00B2646F" w:rsidRDefault="00B2646F" w:rsidP="00BE5510">
      <w:pPr>
        <w:pStyle w:val="SAAQuestion"/>
      </w:pPr>
      <w:r>
        <w:lastRenderedPageBreak/>
        <w:t>Question 10</w:t>
      </w:r>
    </w:p>
    <w:p w14:paraId="17D8FEFA" w14:textId="658ACBAC" w:rsidR="001F5886" w:rsidRDefault="00B2646F" w:rsidP="00A26E47">
      <w:pPr>
        <w:pStyle w:val="SAAbodytext"/>
      </w:pPr>
      <w:r w:rsidRPr="00BE5510">
        <w:t>This calculus-based question involved trigonometry, natural logarithms, and a conjecture structured in an unfamiliar manner</w:t>
      </w:r>
      <w:r w:rsidR="00E366DD" w:rsidRPr="00BE5510">
        <w:t xml:space="preserve">. </w:t>
      </w:r>
      <w:r w:rsidR="00A26E47" w:rsidRPr="00A26E47">
        <w:t xml:space="preserve">The final part required application of the conjecture to determine a </w:t>
      </w:r>
      <w:r w:rsidR="008702F4" w:rsidRPr="00A26E47">
        <w:t>result.</w:t>
      </w:r>
      <w:r w:rsidR="007A332A" w:rsidRPr="00BE5510">
        <w:t xml:space="preserve"> </w:t>
      </w:r>
      <w:r w:rsidR="00A26E47" w:rsidRPr="00A26E47">
        <w:t>Performance on this question was comparatively lower</w:t>
      </w:r>
      <w:r w:rsidRPr="00BE5510">
        <w:t xml:space="preserve"> with only 9% of students achieving 10 or more of the marks on offer.</w:t>
      </w:r>
    </w:p>
    <w:p w14:paraId="7ABA8067" w14:textId="77777777" w:rsidR="00B2646F" w:rsidRDefault="00B2646F" w:rsidP="00BE5510">
      <w:pPr>
        <w:pStyle w:val="SAAmoreless"/>
      </w:pPr>
      <w:r>
        <w:t xml:space="preserve">The more successful responses commonly: </w:t>
      </w:r>
    </w:p>
    <w:p w14:paraId="5FDCE979" w14:textId="77777777" w:rsidR="00B2646F" w:rsidRDefault="00B2646F" w:rsidP="00BE5510">
      <w:pPr>
        <w:pStyle w:val="SAABullet"/>
      </w:pPr>
      <w:r>
        <w:t xml:space="preserve">correctly found the derivative in part (a) applying the chain rule successfully </w:t>
      </w:r>
    </w:p>
    <w:p w14:paraId="38F5C31D" w14:textId="72A29832" w:rsidR="00B2646F" w:rsidRDefault="00B2646F" w:rsidP="00BE5510">
      <w:pPr>
        <w:pStyle w:val="SAABullet"/>
      </w:pPr>
      <w:r>
        <w:t>showed clear evidence of process to prove the given conjecture in part (c)(</w:t>
      </w:r>
      <w:proofErr w:type="spellStart"/>
      <w:r>
        <w:t>i</w:t>
      </w:r>
      <w:proofErr w:type="spellEnd"/>
      <w:r>
        <w:t>)</w:t>
      </w:r>
      <w:r w:rsidR="007A332A">
        <w:t xml:space="preserve">. </w:t>
      </w:r>
      <w:r>
        <w:t>Some examples of evidence which helped students achieve full marks were:</w:t>
      </w:r>
    </w:p>
    <w:p w14:paraId="474B088D" w14:textId="77777777" w:rsidR="00B2646F" w:rsidRDefault="00B2646F" w:rsidP="00BE5510">
      <w:pPr>
        <w:pStyle w:val="SAABullet2"/>
      </w:pPr>
      <w:r>
        <w:t xml:space="preserve">the substitution of </w:t>
      </w:r>
      <m:oMath>
        <m:r>
          <w:rPr>
            <w:rFonts w:ascii="Cambria Math" w:hAnsi="Cambria Math"/>
          </w:rPr>
          <m:t>x=πk</m:t>
        </m:r>
      </m:oMath>
      <w:r>
        <w:rPr>
          <w:rFonts w:eastAsiaTheme="minorEastAsia"/>
        </w:rPr>
        <w:t xml:space="preserve"> and </w:t>
      </w:r>
      <m:oMath>
        <m:r>
          <w:rPr>
            <w:rFonts w:ascii="Cambria Math" w:eastAsiaTheme="minorEastAsia" w:hAnsi="Cambria Math"/>
          </w:rPr>
          <m:t>x=π(k+1)</m:t>
        </m:r>
      </m:oMath>
      <w:r>
        <w:rPr>
          <w:rFonts w:eastAsiaTheme="minorEastAsia"/>
        </w:rPr>
        <w:t xml:space="preserve"> into </w:t>
      </w:r>
      <m:oMath>
        <m:r>
          <w:rPr>
            <w:rFonts w:ascii="Cambria Math" w:eastAsiaTheme="minorEastAsia" w:hAnsi="Cambria Math"/>
          </w:rPr>
          <m:t>f(x)</m:t>
        </m:r>
      </m:oMath>
    </w:p>
    <w:p w14:paraId="2493DAF9" w14:textId="77777777" w:rsidR="00B2646F" w:rsidRDefault="00B2646F" w:rsidP="00BE5510">
      <w:pPr>
        <w:pStyle w:val="SAABullet2"/>
      </w:pPr>
      <w:r>
        <w:rPr>
          <w:rFonts w:eastAsiaTheme="minorEastAsia"/>
        </w:rPr>
        <w:t xml:space="preserve">the subtraction of these values to find </w:t>
      </w:r>
      <m:oMath>
        <m:sSub>
          <m:sSubPr>
            <m:ctrlPr>
              <w:rPr>
                <w:rFonts w:ascii="Cambria Math" w:eastAsiaTheme="minorEastAsia" w:hAnsi="Cambria Math"/>
                <w:i/>
                <w:color w:val="000000" w:themeColor="text1"/>
              </w:rPr>
            </m:ctrlPr>
          </m:sSubPr>
          <m:e>
            <m:r>
              <w:rPr>
                <w:rFonts w:ascii="Cambria Math" w:eastAsiaTheme="minorEastAsia" w:hAnsi="Cambria Math"/>
              </w:rPr>
              <m:t>v</m:t>
            </m:r>
          </m:e>
          <m:sub>
            <m:r>
              <w:rPr>
                <w:rFonts w:ascii="Cambria Math" w:eastAsiaTheme="minorEastAsia" w:hAnsi="Cambria Math"/>
              </w:rPr>
              <m:t>k</m:t>
            </m:r>
          </m:sub>
        </m:sSub>
      </m:oMath>
      <w:r>
        <w:rPr>
          <w:rFonts w:eastAsiaTheme="minorEastAsia"/>
        </w:rPr>
        <w:t xml:space="preserve"> in non-simplified form</w:t>
      </w:r>
    </w:p>
    <w:p w14:paraId="57443C73" w14:textId="77777777" w:rsidR="00B2646F" w:rsidRDefault="00B2646F" w:rsidP="00BE5510">
      <w:pPr>
        <w:pStyle w:val="SAABullet2"/>
      </w:pPr>
      <w:r>
        <w:rPr>
          <w:rFonts w:eastAsiaTheme="minorEastAsia"/>
        </w:rPr>
        <w:t xml:space="preserve">the removal of </w:t>
      </w:r>
      <m:oMath>
        <m:func>
          <m:funcPr>
            <m:ctrlPr>
              <w:rPr>
                <w:rFonts w:ascii="Cambria Math" w:eastAsiaTheme="minorEastAsia" w:hAnsi="Cambria Math"/>
                <w:i/>
                <w:color w:val="000000" w:themeColor="text1"/>
              </w:rPr>
            </m:ctrlPr>
          </m:funcPr>
          <m:fName>
            <m:r>
              <m:rPr>
                <m:sty m:val="p"/>
              </m:rPr>
              <w:rPr>
                <w:rFonts w:ascii="Cambria Math" w:eastAsiaTheme="minorEastAsia" w:hAnsi="Cambria Math"/>
              </w:rPr>
              <m:t>sin</m:t>
            </m:r>
          </m:fName>
          <m:e>
            <m:r>
              <w:rPr>
                <w:rFonts w:ascii="Cambria Math" w:eastAsiaTheme="minorEastAsia" w:hAnsi="Cambria Math"/>
              </w:rPr>
              <m:t>(2πk</m:t>
            </m:r>
          </m:e>
        </m:func>
        <m:r>
          <w:rPr>
            <w:rFonts w:ascii="Cambria Math" w:eastAsiaTheme="minorEastAsia" w:hAnsi="Cambria Math"/>
          </w:rPr>
          <m:t>)</m:t>
        </m:r>
      </m:oMath>
      <w:r>
        <w:rPr>
          <w:rFonts w:eastAsiaTheme="minorEastAsia"/>
        </w:rPr>
        <w:t xml:space="preserve"> and </w:t>
      </w:r>
      <m:oMath>
        <m:func>
          <m:funcPr>
            <m:ctrlPr>
              <w:rPr>
                <w:rFonts w:ascii="Cambria Math" w:eastAsiaTheme="minorEastAsia" w:hAnsi="Cambria Math"/>
                <w:i/>
                <w:color w:val="000000" w:themeColor="text1"/>
              </w:rPr>
            </m:ctrlPr>
          </m:funcPr>
          <m:fName>
            <m:r>
              <m:rPr>
                <m:sty m:val="p"/>
              </m:rPr>
              <w:rPr>
                <w:rFonts w:ascii="Cambria Math" w:eastAsiaTheme="minorEastAsia" w:hAnsi="Cambria Math"/>
              </w:rPr>
              <m:t>sin</m:t>
            </m:r>
          </m:fName>
          <m:e>
            <m:r>
              <w:rPr>
                <w:rFonts w:ascii="Cambria Math" w:eastAsiaTheme="minorEastAsia" w:hAnsi="Cambria Math"/>
              </w:rPr>
              <m:t>(2π</m:t>
            </m:r>
            <m:d>
              <m:dPr>
                <m:ctrlPr>
                  <w:rPr>
                    <w:rFonts w:ascii="Cambria Math" w:eastAsiaTheme="minorEastAsia" w:hAnsi="Cambria Math"/>
                    <w:i/>
                    <w:color w:val="000000" w:themeColor="text1"/>
                  </w:rPr>
                </m:ctrlPr>
              </m:dPr>
              <m:e>
                <m:r>
                  <w:rPr>
                    <w:rFonts w:ascii="Cambria Math" w:eastAsiaTheme="minorEastAsia" w:hAnsi="Cambria Math"/>
                  </w:rPr>
                  <m:t>k+1</m:t>
                </m:r>
              </m:e>
            </m:d>
            <m:r>
              <w:rPr>
                <w:rFonts w:ascii="Cambria Math" w:eastAsiaTheme="minorEastAsia" w:hAnsi="Cambria Math"/>
              </w:rPr>
              <m:t>)</m:t>
            </m:r>
          </m:e>
        </m:func>
      </m:oMath>
      <w:r>
        <w:rPr>
          <w:rFonts w:eastAsiaTheme="minorEastAsia"/>
        </w:rPr>
        <w:t xml:space="preserve"> as both are equal to zero</w:t>
      </w:r>
    </w:p>
    <w:p w14:paraId="6FCFF83E" w14:textId="77777777" w:rsidR="00B2646F" w:rsidRDefault="00B2646F" w:rsidP="00BE5510">
      <w:pPr>
        <w:pStyle w:val="SAABullet2"/>
      </w:pPr>
      <w:r>
        <w:rPr>
          <w:rFonts w:eastAsiaTheme="minorEastAsia"/>
        </w:rPr>
        <w:t xml:space="preserve">the simplification of the expression using log laws to </w:t>
      </w:r>
      <m:oMath>
        <m:r>
          <w:rPr>
            <w:rFonts w:ascii="Cambria Math" w:eastAsiaTheme="minorEastAsia" w:hAnsi="Cambria Math"/>
          </w:rPr>
          <m:t>100</m:t>
        </m:r>
        <m:func>
          <m:funcPr>
            <m:ctrlPr>
              <w:rPr>
                <w:rFonts w:ascii="Cambria Math" w:eastAsiaTheme="minorEastAsia" w:hAnsi="Cambria Math"/>
                <w:i/>
                <w:color w:val="000000" w:themeColor="text1"/>
              </w:rPr>
            </m:ctrlPr>
          </m:funcPr>
          <m:fName>
            <m:r>
              <m:rPr>
                <m:sty m:val="p"/>
              </m:rPr>
              <w:rPr>
                <w:rFonts w:ascii="Cambria Math" w:eastAsiaTheme="minorEastAsia" w:hAnsi="Cambria Math"/>
              </w:rPr>
              <m:t>ln</m:t>
            </m:r>
          </m:fName>
          <m:e>
            <m:d>
              <m:dPr>
                <m:ctrlPr>
                  <w:rPr>
                    <w:rFonts w:ascii="Cambria Math" w:eastAsiaTheme="minorEastAsia" w:hAnsi="Cambria Math"/>
                    <w:i/>
                    <w:color w:val="000000" w:themeColor="text1"/>
                  </w:rPr>
                </m:ctrlPr>
              </m:dPr>
              <m:e>
                <m:f>
                  <m:fPr>
                    <m:ctrlPr>
                      <w:rPr>
                        <w:rFonts w:ascii="Cambria Math" w:eastAsiaTheme="minorEastAsia" w:hAnsi="Cambria Math"/>
                        <w:i/>
                        <w:color w:val="000000" w:themeColor="text1"/>
                      </w:rPr>
                    </m:ctrlPr>
                  </m:fPr>
                  <m:num>
                    <m:r>
                      <w:rPr>
                        <w:rFonts w:ascii="Cambria Math" w:eastAsiaTheme="minorEastAsia" w:hAnsi="Cambria Math"/>
                      </w:rPr>
                      <m:t>2π</m:t>
                    </m:r>
                    <m:d>
                      <m:dPr>
                        <m:ctrlPr>
                          <w:rPr>
                            <w:rFonts w:ascii="Cambria Math" w:eastAsiaTheme="minorEastAsia" w:hAnsi="Cambria Math"/>
                            <w:i/>
                            <w:color w:val="000000" w:themeColor="text1"/>
                          </w:rPr>
                        </m:ctrlPr>
                      </m:dPr>
                      <m:e>
                        <m:r>
                          <w:rPr>
                            <w:rFonts w:ascii="Cambria Math" w:eastAsiaTheme="minorEastAsia" w:hAnsi="Cambria Math"/>
                          </w:rPr>
                          <m:t>k+1</m:t>
                        </m:r>
                      </m:e>
                    </m:d>
                  </m:num>
                  <m:den>
                    <m:r>
                      <w:rPr>
                        <w:rFonts w:ascii="Cambria Math" w:eastAsiaTheme="minorEastAsia" w:hAnsi="Cambria Math"/>
                      </w:rPr>
                      <m:t>2πk</m:t>
                    </m:r>
                  </m:den>
                </m:f>
              </m:e>
            </m:d>
          </m:e>
        </m:func>
      </m:oMath>
      <w:r>
        <w:rPr>
          <w:rFonts w:eastAsiaTheme="minorEastAsia"/>
        </w:rPr>
        <w:t xml:space="preserve"> before the cancelling of the </w:t>
      </w:r>
      <m:oMath>
        <m:r>
          <w:rPr>
            <w:rFonts w:ascii="Cambria Math" w:eastAsiaTheme="minorEastAsia" w:hAnsi="Cambria Math"/>
          </w:rPr>
          <m:t>2π</m:t>
        </m:r>
      </m:oMath>
      <w:r>
        <w:rPr>
          <w:rFonts w:eastAsiaTheme="minorEastAsia"/>
        </w:rPr>
        <w:t>’s</w:t>
      </w:r>
    </w:p>
    <w:p w14:paraId="18735504" w14:textId="77777777" w:rsidR="00B2646F" w:rsidRDefault="00B2646F" w:rsidP="00BE5510">
      <w:pPr>
        <w:pStyle w:val="SAABullet"/>
      </w:pPr>
      <w:r>
        <w:t xml:space="preserve">gave a correct formula for </w:t>
      </w:r>
      <m:oMath>
        <m:sSub>
          <m:sSubPr>
            <m:ctrlPr>
              <w:rPr>
                <w:rFonts w:ascii="Cambria Math" w:hAnsi="Cambria Math"/>
                <w:i/>
              </w:rPr>
            </m:ctrlPr>
          </m:sSubPr>
          <m:e>
            <m:r>
              <w:rPr>
                <w:rFonts w:ascii="Cambria Math" w:hAnsi="Cambria Math"/>
              </w:rPr>
              <m:t>d</m:t>
            </m:r>
          </m:e>
          <m:sub>
            <m:r>
              <w:rPr>
                <w:rFonts w:ascii="Cambria Math" w:hAnsi="Cambria Math"/>
              </w:rPr>
              <m:t>k</m:t>
            </m:r>
          </m:sub>
        </m:sSub>
      </m:oMath>
      <w:r>
        <w:t xml:space="preserve"> in part (c)(ii)(1) based on Pythagoras. A correct answer also required </w:t>
      </w:r>
      <m:oMath>
        <m:sSub>
          <m:sSubPr>
            <m:ctrlPr>
              <w:rPr>
                <w:rFonts w:ascii="Cambria Math" w:hAnsi="Cambria Math"/>
                <w:i/>
              </w:rPr>
            </m:ctrlPr>
          </m:sSubPr>
          <m:e>
            <m:r>
              <w:rPr>
                <w:rFonts w:ascii="Cambria Math" w:hAnsi="Cambria Math"/>
              </w:rPr>
              <m:t>h</m:t>
            </m:r>
          </m:e>
          <m:sub>
            <m:r>
              <w:rPr>
                <w:rFonts w:ascii="Cambria Math" w:hAnsi="Cambria Math"/>
              </w:rPr>
              <m:t>k</m:t>
            </m:r>
          </m:sub>
        </m:sSub>
      </m:oMath>
      <w:r>
        <w:t xml:space="preserve"> to be replaced with </w:t>
      </w:r>
      <m:oMath>
        <m:r>
          <w:rPr>
            <w:rFonts w:ascii="Cambria Math" w:hAnsi="Cambria Math"/>
          </w:rPr>
          <m:t>π</m:t>
        </m:r>
      </m:oMath>
      <w:r>
        <w:t xml:space="preserve"> and </w:t>
      </w:r>
      <m:oMath>
        <m:sSub>
          <m:sSubPr>
            <m:ctrlPr>
              <w:rPr>
                <w:rFonts w:ascii="Cambria Math" w:hAnsi="Cambria Math"/>
                <w:i/>
              </w:rPr>
            </m:ctrlPr>
          </m:sSubPr>
          <m:e>
            <m:r>
              <w:rPr>
                <w:rFonts w:ascii="Cambria Math" w:hAnsi="Cambria Math"/>
              </w:rPr>
              <m:t>v</m:t>
            </m:r>
          </m:e>
          <m:sub>
            <m:r>
              <w:rPr>
                <w:rFonts w:ascii="Cambria Math" w:hAnsi="Cambria Math"/>
              </w:rPr>
              <m:t>k</m:t>
            </m:r>
          </m:sub>
        </m:sSub>
      </m:oMath>
      <w:r>
        <w:t xml:space="preserve"> replaced with </w:t>
      </w:r>
      <m:oMath>
        <m:r>
          <w:rPr>
            <w:rFonts w:ascii="Cambria Math" w:hAnsi="Cambria Math"/>
          </w:rPr>
          <m:t>100</m:t>
        </m:r>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f>
                  <m:fPr>
                    <m:ctrlPr>
                      <w:rPr>
                        <w:rFonts w:ascii="Cambria Math" w:hAnsi="Cambria Math"/>
                        <w:i/>
                      </w:rPr>
                    </m:ctrlPr>
                  </m:fPr>
                  <m:num>
                    <m:r>
                      <w:rPr>
                        <w:rFonts w:ascii="Cambria Math" w:hAnsi="Cambria Math"/>
                      </w:rPr>
                      <m:t>k+1</m:t>
                    </m:r>
                  </m:num>
                  <m:den>
                    <m:r>
                      <w:rPr>
                        <w:rFonts w:ascii="Cambria Math" w:hAnsi="Cambria Math"/>
                      </w:rPr>
                      <m:t>k</m:t>
                    </m:r>
                  </m:den>
                </m:f>
              </m:e>
            </m:d>
          </m:e>
        </m:func>
      </m:oMath>
      <w:r>
        <w:t>.</w:t>
      </w:r>
    </w:p>
    <w:p w14:paraId="2EC0B0EC" w14:textId="77777777" w:rsidR="00B2646F" w:rsidRDefault="00B2646F" w:rsidP="00BE5510">
      <w:pPr>
        <w:pStyle w:val="SAAmoreless"/>
      </w:pPr>
      <w:r>
        <w:t>The less successful responses commonly:</w:t>
      </w:r>
    </w:p>
    <w:p w14:paraId="31502421" w14:textId="77777777" w:rsidR="00B2646F" w:rsidRDefault="00B2646F" w:rsidP="00BE5510">
      <w:pPr>
        <w:pStyle w:val="SAABullet"/>
      </w:pPr>
      <w:r>
        <w:t xml:space="preserve">did not consider the argument of </w:t>
      </w:r>
      <m:oMath>
        <m:r>
          <w:rPr>
            <w:rFonts w:ascii="Cambria Math" w:hAnsi="Cambria Math"/>
          </w:rPr>
          <m:t>2x</m:t>
        </m:r>
      </m:oMath>
      <w:r>
        <w:rPr>
          <w:rFonts w:eastAsiaTheme="minorEastAsia"/>
        </w:rPr>
        <w:t xml:space="preserve"> in their derivative in part (a)</w:t>
      </w:r>
    </w:p>
    <w:p w14:paraId="6A86CA05" w14:textId="7DC3A382" w:rsidR="00B2646F" w:rsidRDefault="00B2646F" w:rsidP="00BE5510">
      <w:pPr>
        <w:pStyle w:val="SAABullet"/>
      </w:pPr>
      <w:r>
        <w:rPr>
          <w:rFonts w:eastAsiaTheme="minorEastAsia"/>
        </w:rPr>
        <w:t xml:space="preserve">attempted to use log laws before differentiating in part (a), i.e. </w:t>
      </w:r>
      <m:oMath>
        <m:r>
          <w:rPr>
            <w:rFonts w:ascii="Cambria Math" w:eastAsiaTheme="minorEastAsia" w:hAnsi="Cambria Math"/>
          </w:rPr>
          <m:t>100</m:t>
        </m:r>
        <m:func>
          <m:funcPr>
            <m:ctrlPr>
              <w:rPr>
                <w:rFonts w:ascii="Cambria Math" w:eastAsiaTheme="minorEastAsia" w:hAnsi="Cambria Math"/>
                <w:i/>
              </w:rPr>
            </m:ctrlPr>
          </m:funcPr>
          <m:fName>
            <m:r>
              <m:rPr>
                <m:sty m:val="p"/>
              </m:rPr>
              <w:rPr>
                <w:rFonts w:ascii="Cambria Math" w:eastAsiaTheme="minorEastAsia" w:hAnsi="Cambria Math"/>
              </w:rPr>
              <m:t>ln</m:t>
            </m:r>
          </m:fName>
          <m:e>
            <m:d>
              <m:dPr>
                <m:ctrlPr>
                  <w:rPr>
                    <w:rFonts w:ascii="Cambria Math" w:eastAsiaTheme="minorEastAsia" w:hAnsi="Cambria Math"/>
                    <w:i/>
                  </w:rPr>
                </m:ctrlPr>
              </m:dPr>
              <m:e>
                <m:r>
                  <w:rPr>
                    <w:rFonts w:ascii="Cambria Math" w:eastAsiaTheme="minorEastAsia" w:hAnsi="Cambria Math"/>
                  </w:rPr>
                  <m:t>2x-</m:t>
                </m:r>
                <m:func>
                  <m:funcPr>
                    <m:ctrlPr>
                      <w:rPr>
                        <w:rFonts w:ascii="Cambria Math" w:eastAsiaTheme="minorEastAsia" w:hAnsi="Cambria Math"/>
                        <w:i/>
                      </w:rPr>
                    </m:ctrlPr>
                  </m:funcPr>
                  <m:fName>
                    <m:r>
                      <m:rPr>
                        <m:sty m:val="p"/>
                      </m:rPr>
                      <w:rPr>
                        <w:rFonts w:ascii="Cambria Math" w:eastAsiaTheme="minorEastAsia" w:hAnsi="Cambria Math"/>
                      </w:rPr>
                      <m:t>sin</m:t>
                    </m:r>
                  </m:fName>
                  <m:e>
                    <m:r>
                      <w:rPr>
                        <w:rFonts w:ascii="Cambria Math" w:eastAsiaTheme="minorEastAsia" w:hAnsi="Cambria Math"/>
                      </w:rPr>
                      <m:t>2x</m:t>
                    </m:r>
                  </m:e>
                </m:func>
              </m:e>
            </m:d>
          </m:e>
        </m:func>
        <m:r>
          <w:rPr>
            <w:rFonts w:ascii="Cambria Math" w:eastAsiaTheme="minorEastAsia" w:hAnsi="Cambria Math"/>
          </w:rPr>
          <m:t>=</m:t>
        </m:r>
        <m:sSup>
          <m:sSupPr>
            <m:ctrlPr>
              <w:rPr>
                <w:rFonts w:ascii="Cambria Math" w:eastAsiaTheme="minorEastAsia" w:hAnsi="Cambria Math"/>
                <w:i/>
              </w:rPr>
            </m:ctrlPr>
          </m:sSupPr>
          <m:e>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2x-</m:t>
                    </m:r>
                    <m:func>
                      <m:funcPr>
                        <m:ctrlPr>
                          <w:rPr>
                            <w:rFonts w:ascii="Cambria Math" w:eastAsiaTheme="minorEastAsia" w:hAnsi="Cambria Math"/>
                            <w:i/>
                          </w:rPr>
                        </m:ctrlPr>
                      </m:funcPr>
                      <m:fName>
                        <m:r>
                          <m:rPr>
                            <m:sty m:val="p"/>
                          </m:rPr>
                          <w:rPr>
                            <w:rFonts w:ascii="Cambria Math" w:eastAsiaTheme="minorEastAsia" w:hAnsi="Cambria Math"/>
                          </w:rPr>
                          <m:t>sin</m:t>
                        </m:r>
                      </m:fName>
                      <m:e>
                        <m:r>
                          <w:rPr>
                            <w:rFonts w:ascii="Cambria Math" w:eastAsiaTheme="minorEastAsia" w:hAnsi="Cambria Math"/>
                          </w:rPr>
                          <m:t>2x</m:t>
                        </m:r>
                      </m:e>
                    </m:func>
                  </m:e>
                </m:d>
              </m:e>
            </m:func>
          </m:e>
          <m:sup>
            <m:r>
              <w:rPr>
                <w:rFonts w:ascii="Cambria Math" w:eastAsiaTheme="minorEastAsia" w:hAnsi="Cambria Math"/>
              </w:rPr>
              <m:t>100</m:t>
            </m:r>
          </m:sup>
        </m:sSup>
        <m:r>
          <w:rPr>
            <w:rFonts w:ascii="Cambria Math" w:eastAsiaTheme="minorEastAsia" w:hAnsi="Cambria Math"/>
          </w:rPr>
          <m:t>)</m:t>
        </m:r>
      </m:oMath>
      <w:r w:rsidR="00E366DD">
        <w:rPr>
          <w:rFonts w:eastAsiaTheme="minorEastAsia"/>
        </w:rPr>
        <w:t xml:space="preserve">. </w:t>
      </w:r>
      <w:r>
        <w:rPr>
          <w:rFonts w:eastAsiaTheme="minorEastAsia"/>
        </w:rPr>
        <w:t xml:space="preserve">Although a successful solution is still possible, it required much more complex mathematics </w:t>
      </w:r>
    </w:p>
    <w:p w14:paraId="50011F52" w14:textId="77777777" w:rsidR="00B2646F" w:rsidRDefault="00B2646F" w:rsidP="00BE5510">
      <w:pPr>
        <w:pStyle w:val="SAABullet"/>
      </w:pPr>
      <w:r>
        <w:t xml:space="preserve">did not show clear and logical steps to find the given answer in part (b). Although students were able to set their derivative equal to zero, many were unable to show evidence that they isolated </w:t>
      </w:r>
      <m:oMath>
        <m:r>
          <w:rPr>
            <w:rFonts w:ascii="Cambria Math" w:hAnsi="Cambria Math"/>
          </w:rPr>
          <m:t>2x</m:t>
        </m:r>
      </m:oMath>
      <w:r>
        <w:rPr>
          <w:rFonts w:eastAsiaTheme="minorEastAsia"/>
        </w:rPr>
        <w:t xml:space="preserve"> and hence </w:t>
      </w:r>
      <m:oMath>
        <m:r>
          <w:rPr>
            <w:rFonts w:ascii="Cambria Math" w:eastAsiaTheme="minorEastAsia" w:hAnsi="Cambria Math"/>
          </w:rPr>
          <m:t>x</m:t>
        </m:r>
      </m:oMath>
      <w:r>
        <w:rPr>
          <w:rFonts w:eastAsiaTheme="minorEastAsia"/>
        </w:rPr>
        <w:t xml:space="preserve"> through clear algebraic process</w:t>
      </w:r>
    </w:p>
    <w:p w14:paraId="561B7025" w14:textId="77777777" w:rsidR="00B2646F" w:rsidRDefault="00B2646F" w:rsidP="00BE5510">
      <w:pPr>
        <w:pStyle w:val="SAABullet"/>
      </w:pPr>
      <w:r>
        <w:t xml:space="preserve">did not use the given result from part (b) to substitute into </w:t>
      </w:r>
      <m:oMath>
        <m:sSub>
          <m:sSubPr>
            <m:ctrlPr>
              <w:rPr>
                <w:rFonts w:ascii="Cambria Math" w:hAnsi="Cambria Math"/>
                <w:i/>
              </w:rPr>
            </m:ctrlPr>
          </m:sSubPr>
          <m:e>
            <m:r>
              <w:rPr>
                <w:rFonts w:ascii="Cambria Math" w:hAnsi="Cambria Math"/>
              </w:rPr>
              <m:t>v</m:t>
            </m:r>
          </m:e>
          <m:sub>
            <m:r>
              <w:rPr>
                <w:rFonts w:ascii="Cambria Math" w:hAnsi="Cambria Math"/>
              </w:rPr>
              <m:t>k</m:t>
            </m:r>
          </m:sub>
        </m:sSub>
      </m:oMath>
      <w:r>
        <w:rPr>
          <w:rFonts w:eastAsiaTheme="minorEastAsia"/>
        </w:rPr>
        <w:t xml:space="preserve"> in part (c)(i)</w:t>
      </w:r>
    </w:p>
    <w:p w14:paraId="75AA0FBC" w14:textId="4A01FF70" w:rsidR="00B2646F" w:rsidRDefault="00B2646F" w:rsidP="00A26E47">
      <w:pPr>
        <w:pStyle w:val="SAABullet"/>
      </w:pPr>
      <w:r>
        <w:t>made no attempt at part (c)(ii)(1) or (2)</w:t>
      </w:r>
      <w:r w:rsidR="00E366DD">
        <w:t xml:space="preserve">. </w:t>
      </w:r>
      <w:r w:rsidR="00A26E47" w:rsidRPr="00A26E47">
        <w:t>As all information required to progress was available, responses that re-engaged with the problem at this point were able to access marks even if earlier parts were not completed</w:t>
      </w:r>
    </w:p>
    <w:p w14:paraId="182A8667" w14:textId="33994EBA" w:rsidR="00B2646F" w:rsidRDefault="00B2646F" w:rsidP="00BE5510">
      <w:pPr>
        <w:pStyle w:val="SAABullet"/>
      </w:pPr>
      <w:r>
        <w:t>attempted to use Pythagoras in part (c)(ii)(1), however made errors such as</w:t>
      </w:r>
      <w:r w:rsidR="00BE5510">
        <w:t>:</w:t>
      </w:r>
    </w:p>
    <w:p w14:paraId="3272CE7F" w14:textId="77777777" w:rsidR="00B2646F" w:rsidRDefault="00B2646F" w:rsidP="00BE5510">
      <w:pPr>
        <w:pStyle w:val="SAABullet2"/>
      </w:pPr>
      <w:r>
        <w:t xml:space="preserve">forgetting the squares, i.e. </w:t>
      </w:r>
      <m:oMath>
        <m:rad>
          <m:radPr>
            <m:degHide m:val="1"/>
            <m:ctrlPr>
              <w:rPr>
                <w:rFonts w:ascii="Cambria Math" w:hAnsi="Cambria Math"/>
                <w:i/>
                <w:color w:val="000000" w:themeColor="text1"/>
              </w:rPr>
            </m:ctrlPr>
          </m:radPr>
          <m:deg/>
          <m:e>
            <m:r>
              <w:rPr>
                <w:rFonts w:ascii="Cambria Math" w:hAnsi="Cambria Math"/>
              </w:rPr>
              <m:t>a+b</m:t>
            </m:r>
          </m:e>
        </m:rad>
      </m:oMath>
    </w:p>
    <w:p w14:paraId="7968B700" w14:textId="77777777" w:rsidR="00B2646F" w:rsidRDefault="00B2646F" w:rsidP="00BE5510">
      <w:pPr>
        <w:pStyle w:val="SAABullet2"/>
      </w:pPr>
      <w:r>
        <w:t xml:space="preserve">incorrectly cancelling the square root and the squares, i.e. </w:t>
      </w:r>
      <m:oMath>
        <m:rad>
          <m:radPr>
            <m:degHide m:val="1"/>
            <m:ctrlPr>
              <w:rPr>
                <w:rFonts w:ascii="Cambria Math" w:hAnsi="Cambria Math"/>
                <w:i/>
                <w:color w:val="000000" w:themeColor="text1"/>
              </w:rPr>
            </m:ctrlPr>
          </m:radPr>
          <m:deg/>
          <m:e>
            <m:sSup>
              <m:sSupPr>
                <m:ctrlPr>
                  <w:rPr>
                    <w:rFonts w:ascii="Cambria Math" w:hAnsi="Cambria Math"/>
                    <w:i/>
                    <w:color w:val="000000" w:themeColor="text1"/>
                  </w:rPr>
                </m:ctrlPr>
              </m:sSupPr>
              <m:e>
                <m:r>
                  <w:rPr>
                    <w:rFonts w:ascii="Cambria Math" w:hAnsi="Cambria Math"/>
                  </w:rPr>
                  <m:t>a</m:t>
                </m:r>
              </m:e>
              <m:sup>
                <m:r>
                  <w:rPr>
                    <w:rFonts w:ascii="Cambria Math" w:hAnsi="Cambria Math"/>
                  </w:rPr>
                  <m:t>2</m:t>
                </m:r>
              </m:sup>
            </m:sSup>
            <m:r>
              <w:rPr>
                <w:rFonts w:ascii="Cambria Math" w:hAnsi="Cambria Math"/>
              </w:rPr>
              <m:t>+</m:t>
            </m:r>
            <m:sSup>
              <m:sSupPr>
                <m:ctrlPr>
                  <w:rPr>
                    <w:rFonts w:ascii="Cambria Math" w:hAnsi="Cambria Math"/>
                    <w:i/>
                    <w:color w:val="000000" w:themeColor="text1"/>
                  </w:rPr>
                </m:ctrlPr>
              </m:sSupPr>
              <m:e>
                <m:r>
                  <w:rPr>
                    <w:rFonts w:ascii="Cambria Math" w:hAnsi="Cambria Math"/>
                  </w:rPr>
                  <m:t>b</m:t>
                </m:r>
              </m:e>
              <m:sup>
                <m:r>
                  <w:rPr>
                    <w:rFonts w:ascii="Cambria Math" w:hAnsi="Cambria Math"/>
                  </w:rPr>
                  <m:t>2</m:t>
                </m:r>
              </m:sup>
            </m:sSup>
          </m:e>
        </m:rad>
        <m:r>
          <w:rPr>
            <w:rFonts w:ascii="Cambria Math" w:hAnsi="Cambria Math"/>
          </w:rPr>
          <m:t>=a+b</m:t>
        </m:r>
      </m:oMath>
    </w:p>
    <w:p w14:paraId="4141652C" w14:textId="77777777" w:rsidR="00B2646F" w:rsidRDefault="00B2646F" w:rsidP="00BE5510">
      <w:pPr>
        <w:pStyle w:val="SAABullet2"/>
      </w:pPr>
      <w:r>
        <w:rPr>
          <w:rFonts w:eastAsiaTheme="minorEastAsia"/>
        </w:rPr>
        <w:t xml:space="preserve">forgetting to square the </w:t>
      </w:r>
      <m:oMath>
        <m:r>
          <w:rPr>
            <w:rFonts w:ascii="Cambria Math" w:eastAsiaTheme="minorEastAsia" w:hAnsi="Cambria Math"/>
          </w:rPr>
          <m:t>100</m:t>
        </m:r>
      </m:oMath>
      <w:r>
        <w:rPr>
          <w:rFonts w:eastAsiaTheme="minorEastAsia"/>
        </w:rPr>
        <w:t xml:space="preserve"> in </w:t>
      </w:r>
      <m:oMath>
        <m:r>
          <w:rPr>
            <w:rFonts w:ascii="Cambria Math" w:eastAsiaTheme="minorEastAsia" w:hAnsi="Cambria Math"/>
          </w:rPr>
          <m:t>100</m:t>
        </m:r>
        <m:func>
          <m:funcPr>
            <m:ctrlPr>
              <w:rPr>
                <w:rFonts w:ascii="Cambria Math" w:eastAsiaTheme="minorEastAsia" w:hAnsi="Cambria Math"/>
                <w:i/>
                <w:color w:val="000000" w:themeColor="text1"/>
              </w:rPr>
            </m:ctrlPr>
          </m:funcPr>
          <m:fName>
            <m:r>
              <m:rPr>
                <m:sty m:val="p"/>
              </m:rPr>
              <w:rPr>
                <w:rFonts w:ascii="Cambria Math" w:eastAsiaTheme="minorEastAsia" w:hAnsi="Cambria Math"/>
              </w:rPr>
              <m:t>ln</m:t>
            </m:r>
          </m:fName>
          <m:e>
            <m:d>
              <m:dPr>
                <m:ctrlPr>
                  <w:rPr>
                    <w:rFonts w:ascii="Cambria Math" w:eastAsiaTheme="minorEastAsia" w:hAnsi="Cambria Math"/>
                    <w:i/>
                    <w:color w:val="000000" w:themeColor="text1"/>
                  </w:rPr>
                </m:ctrlPr>
              </m:dPr>
              <m:e>
                <m:f>
                  <m:fPr>
                    <m:ctrlPr>
                      <w:rPr>
                        <w:rFonts w:ascii="Cambria Math" w:eastAsiaTheme="minorEastAsia" w:hAnsi="Cambria Math"/>
                        <w:i/>
                        <w:color w:val="000000" w:themeColor="text1"/>
                      </w:rPr>
                    </m:ctrlPr>
                  </m:fPr>
                  <m:num>
                    <m:r>
                      <w:rPr>
                        <w:rFonts w:ascii="Cambria Math" w:eastAsiaTheme="minorEastAsia" w:hAnsi="Cambria Math"/>
                      </w:rPr>
                      <m:t>k+1</m:t>
                    </m:r>
                  </m:num>
                  <m:den>
                    <m:r>
                      <w:rPr>
                        <w:rFonts w:ascii="Cambria Math" w:eastAsiaTheme="minorEastAsia" w:hAnsi="Cambria Math"/>
                      </w:rPr>
                      <m:t>k</m:t>
                    </m:r>
                  </m:den>
                </m:f>
              </m:e>
            </m:d>
          </m:e>
        </m:func>
      </m:oMath>
    </w:p>
    <w:p w14:paraId="04D331AA" w14:textId="77777777" w:rsidR="00B2646F" w:rsidRDefault="00B2646F" w:rsidP="00BE5510">
      <w:pPr>
        <w:pStyle w:val="SAABullet2"/>
      </w:pPr>
      <w:r>
        <w:rPr>
          <w:rFonts w:eastAsiaTheme="minorEastAsia"/>
        </w:rPr>
        <w:t xml:space="preserve">only squaring the argument of the natural logarithm rather than the whole term, </w:t>
      </w:r>
      <w:r>
        <w:rPr>
          <w:rFonts w:eastAsiaTheme="minorEastAsia"/>
        </w:rPr>
        <w:br/>
        <w:t xml:space="preserve">i.e. </w:t>
      </w:r>
      <m:oMath>
        <m:sSup>
          <m:sSupPr>
            <m:ctrlPr>
              <w:rPr>
                <w:rFonts w:ascii="Cambria Math" w:eastAsiaTheme="minorEastAsia" w:hAnsi="Cambria Math"/>
                <w:i/>
                <w:color w:val="000000" w:themeColor="text1"/>
              </w:rPr>
            </m:ctrlPr>
          </m:sSupPr>
          <m:e>
            <m:d>
              <m:dPr>
                <m:ctrlPr>
                  <w:rPr>
                    <w:rFonts w:ascii="Cambria Math" w:eastAsiaTheme="minorEastAsia" w:hAnsi="Cambria Math"/>
                    <w:i/>
                    <w:color w:val="000000" w:themeColor="text1"/>
                  </w:rPr>
                </m:ctrlPr>
              </m:dPr>
              <m:e>
                <m:func>
                  <m:funcPr>
                    <m:ctrlPr>
                      <w:rPr>
                        <w:rFonts w:ascii="Cambria Math" w:eastAsiaTheme="minorEastAsia" w:hAnsi="Cambria Math"/>
                        <w:i/>
                        <w:color w:val="000000" w:themeColor="text1"/>
                      </w:rPr>
                    </m:ctrlPr>
                  </m:funcPr>
                  <m:fName>
                    <m:r>
                      <m:rPr>
                        <m:sty m:val="p"/>
                      </m:rPr>
                      <w:rPr>
                        <w:rFonts w:ascii="Cambria Math" w:eastAsiaTheme="minorEastAsia" w:hAnsi="Cambria Math"/>
                      </w:rPr>
                      <m:t>ln</m:t>
                    </m:r>
                  </m:fName>
                  <m:e>
                    <m:d>
                      <m:dPr>
                        <m:ctrlPr>
                          <w:rPr>
                            <w:rFonts w:ascii="Cambria Math" w:eastAsiaTheme="minorEastAsia" w:hAnsi="Cambria Math"/>
                            <w:i/>
                            <w:color w:val="000000" w:themeColor="text1"/>
                          </w:rPr>
                        </m:ctrlPr>
                      </m:dPr>
                      <m:e>
                        <m:f>
                          <m:fPr>
                            <m:ctrlPr>
                              <w:rPr>
                                <w:rFonts w:ascii="Cambria Math" w:eastAsiaTheme="minorEastAsia" w:hAnsi="Cambria Math"/>
                                <w:i/>
                                <w:color w:val="000000" w:themeColor="text1"/>
                              </w:rPr>
                            </m:ctrlPr>
                          </m:fPr>
                          <m:num>
                            <m:r>
                              <w:rPr>
                                <w:rFonts w:ascii="Cambria Math" w:eastAsiaTheme="minorEastAsia" w:hAnsi="Cambria Math"/>
                              </w:rPr>
                              <m:t>k+1</m:t>
                            </m:r>
                          </m:num>
                          <m:den>
                            <m:r>
                              <w:rPr>
                                <w:rFonts w:ascii="Cambria Math" w:eastAsiaTheme="minorEastAsia" w:hAnsi="Cambria Math"/>
                              </w:rPr>
                              <m:t>k</m:t>
                            </m:r>
                          </m:den>
                        </m:f>
                      </m:e>
                    </m:d>
                  </m:e>
                </m:func>
              </m:e>
            </m:d>
          </m:e>
          <m:sup>
            <m:r>
              <w:rPr>
                <w:rFonts w:ascii="Cambria Math" w:eastAsiaTheme="minorEastAsia" w:hAnsi="Cambria Math"/>
              </w:rPr>
              <m:t>2</m:t>
            </m:r>
          </m:sup>
        </m:sSup>
      </m:oMath>
      <w:r>
        <w:rPr>
          <w:rFonts w:eastAsiaTheme="minorEastAsia"/>
        </w:rPr>
        <w:t xml:space="preserve"> vs </w:t>
      </w:r>
      <m:oMath>
        <m:func>
          <m:funcPr>
            <m:ctrlPr>
              <w:rPr>
                <w:rFonts w:ascii="Cambria Math" w:eastAsiaTheme="minorEastAsia" w:hAnsi="Cambria Math"/>
                <w:i/>
                <w:color w:val="000000" w:themeColor="text1"/>
              </w:rPr>
            </m:ctrlPr>
          </m:funcPr>
          <m:fName>
            <m:r>
              <m:rPr>
                <m:sty m:val="p"/>
              </m:rPr>
              <w:rPr>
                <w:rFonts w:ascii="Cambria Math" w:eastAsiaTheme="minorEastAsia" w:hAnsi="Cambria Math"/>
              </w:rPr>
              <m:t>ln</m:t>
            </m:r>
          </m:fName>
          <m:e>
            <m:d>
              <m:dPr>
                <m:ctrlPr>
                  <w:rPr>
                    <w:rFonts w:ascii="Cambria Math" w:eastAsiaTheme="minorEastAsia" w:hAnsi="Cambria Math"/>
                    <w:i/>
                    <w:color w:val="000000" w:themeColor="text1"/>
                  </w:rPr>
                </m:ctrlPr>
              </m:dPr>
              <m:e>
                <m:sSup>
                  <m:sSupPr>
                    <m:ctrlPr>
                      <w:rPr>
                        <w:rFonts w:ascii="Cambria Math" w:eastAsiaTheme="minorEastAsia" w:hAnsi="Cambria Math"/>
                        <w:i/>
                        <w:color w:val="000000" w:themeColor="text1"/>
                      </w:rPr>
                    </m:ctrlPr>
                  </m:sSupPr>
                  <m:e>
                    <m:d>
                      <m:dPr>
                        <m:ctrlPr>
                          <w:rPr>
                            <w:rFonts w:ascii="Cambria Math" w:eastAsiaTheme="minorEastAsia" w:hAnsi="Cambria Math"/>
                            <w:i/>
                            <w:color w:val="000000" w:themeColor="text1"/>
                          </w:rPr>
                        </m:ctrlPr>
                      </m:dPr>
                      <m:e>
                        <m:f>
                          <m:fPr>
                            <m:ctrlPr>
                              <w:rPr>
                                <w:rFonts w:ascii="Cambria Math" w:eastAsiaTheme="minorEastAsia" w:hAnsi="Cambria Math"/>
                                <w:i/>
                                <w:color w:val="000000" w:themeColor="text1"/>
                              </w:rPr>
                            </m:ctrlPr>
                          </m:fPr>
                          <m:num>
                            <m:r>
                              <w:rPr>
                                <w:rFonts w:ascii="Cambria Math" w:eastAsiaTheme="minorEastAsia" w:hAnsi="Cambria Math"/>
                              </w:rPr>
                              <m:t>k+1</m:t>
                            </m:r>
                          </m:num>
                          <m:den>
                            <m:r>
                              <w:rPr>
                                <w:rFonts w:ascii="Cambria Math" w:eastAsiaTheme="minorEastAsia" w:hAnsi="Cambria Math"/>
                              </w:rPr>
                              <m:t>k</m:t>
                            </m:r>
                          </m:den>
                        </m:f>
                      </m:e>
                    </m:d>
                  </m:e>
                  <m:sup>
                    <m:r>
                      <w:rPr>
                        <w:rFonts w:ascii="Cambria Math" w:eastAsiaTheme="minorEastAsia" w:hAnsi="Cambria Math"/>
                      </w:rPr>
                      <m:t>2</m:t>
                    </m:r>
                  </m:sup>
                </m:sSup>
              </m:e>
            </m:d>
          </m:e>
        </m:func>
      </m:oMath>
    </w:p>
    <w:p w14:paraId="3524F0B8" w14:textId="2BE4D618" w:rsidR="00B2646F" w:rsidRDefault="00B2646F" w:rsidP="00B2646F">
      <w:pPr>
        <w:pStyle w:val="SAABullets"/>
        <w:numPr>
          <w:ilvl w:val="0"/>
          <w:numId w:val="0"/>
        </w:numPr>
        <w:ind w:left="357"/>
      </w:pPr>
      <w:r>
        <w:rPr>
          <w:rFonts w:eastAsiaTheme="minorEastAsia"/>
        </w:rPr>
        <w:t>It</w:t>
      </w:r>
      <w:r w:rsidR="00665C24">
        <w:rPr>
          <w:rFonts w:eastAsiaTheme="minorEastAsia"/>
        </w:rPr>
        <w:t xml:space="preserve"> i</w:t>
      </w:r>
      <w:r>
        <w:rPr>
          <w:rFonts w:eastAsiaTheme="minorEastAsia"/>
        </w:rPr>
        <w:t>s worth noting that alternative solutions to part (c)(ii)(2) were created based on these errors in part (c)(ii)(1) [and many others] to allow students to achieve marks in the last part of the question where possible</w:t>
      </w:r>
    </w:p>
    <w:p w14:paraId="653391E4" w14:textId="2FE207EF" w:rsidR="00B2646F" w:rsidRDefault="00B2646F" w:rsidP="00046946">
      <w:pPr>
        <w:pStyle w:val="SAABullet"/>
      </w:pPr>
      <w:r>
        <w:t>used an algebraic approach in part (c)(ii)(2)</w:t>
      </w:r>
      <w:r w:rsidR="00E366DD">
        <w:t xml:space="preserve">. </w:t>
      </w:r>
      <w:r>
        <w:t xml:space="preserve">Difficulties arose through complexities in handling the inequality, the complex nature of the algebra involved, and students not rounding their final answer up from </w:t>
      </w:r>
      <m:oMath>
        <m:r>
          <w:rPr>
            <w:rFonts w:ascii="Cambria Math" w:hAnsi="Cambria Math"/>
          </w:rPr>
          <m:t>k=64.3</m:t>
        </m:r>
      </m:oMath>
      <w:r>
        <w:rPr>
          <w:rFonts w:eastAsiaTheme="minorEastAsia"/>
        </w:rPr>
        <w:t xml:space="preserve"> to </w:t>
      </w:r>
      <m:oMath>
        <m:r>
          <w:rPr>
            <w:rFonts w:ascii="Cambria Math" w:eastAsiaTheme="minorEastAsia" w:hAnsi="Cambria Math"/>
          </w:rPr>
          <m:t>k=65</m:t>
        </m:r>
      </m:oMath>
      <w:r w:rsidR="007A332A">
        <w:t xml:space="preserve">. </w:t>
      </w:r>
      <w:r>
        <w:t>Although when well completed a solution was possible</w:t>
      </w:r>
      <w:r w:rsidR="008702F4">
        <w:t>,</w:t>
      </w:r>
      <w:r w:rsidR="00046946" w:rsidRPr="00046946">
        <w:rPr>
          <w:color w:val="000000"/>
        </w:rPr>
        <w:t xml:space="preserve"> </w:t>
      </w:r>
      <w:r w:rsidR="00046946" w:rsidRPr="00046946">
        <w:t>more successful responses took</w:t>
      </w:r>
      <w:r>
        <w:t xml:space="preserve"> note of</w:t>
      </w:r>
      <w:r w:rsidR="00BE5510">
        <w:t>:</w:t>
      </w:r>
    </w:p>
    <w:p w14:paraId="0670C9DF" w14:textId="77777777" w:rsidR="00B2646F" w:rsidRDefault="00B2646F" w:rsidP="00BE5510">
      <w:pPr>
        <w:pStyle w:val="SAABullet2"/>
      </w:pPr>
      <w:r>
        <w:t xml:space="preserve">the wording used (i.e. ‘Give evidence to support your answer’ rather than ‘using an algebraic approach’) </w:t>
      </w:r>
    </w:p>
    <w:p w14:paraId="2FFD3506" w14:textId="77777777" w:rsidR="00B2646F" w:rsidRDefault="00B2646F" w:rsidP="00BE5510">
      <w:pPr>
        <w:pStyle w:val="SAABullet2"/>
      </w:pPr>
      <w:r>
        <w:t>the small number of allocated marks</w:t>
      </w:r>
    </w:p>
    <w:p w14:paraId="1FE7E5D2" w14:textId="77777777" w:rsidR="00B2646F" w:rsidRDefault="00B2646F" w:rsidP="00BE5510">
      <w:pPr>
        <w:pStyle w:val="SAABullet2"/>
      </w:pPr>
      <w:r>
        <w:t xml:space="preserve">the minimal space provided and </w:t>
      </w:r>
    </w:p>
    <w:p w14:paraId="1E687D70" w14:textId="77777777" w:rsidR="00B2646F" w:rsidRDefault="00B2646F" w:rsidP="00BE5510">
      <w:pPr>
        <w:pStyle w:val="SAABullet2"/>
      </w:pPr>
      <w:r>
        <w:t xml:space="preserve">the discrete nature of the variable </w:t>
      </w:r>
      <m:oMath>
        <m:r>
          <w:rPr>
            <w:rFonts w:ascii="Cambria Math" w:hAnsi="Cambria Math"/>
          </w:rPr>
          <m:t>k</m:t>
        </m:r>
      </m:oMath>
      <w:r>
        <w:rPr>
          <w:rFonts w:eastAsiaTheme="minorEastAsia"/>
        </w:rPr>
        <w:t xml:space="preserve"> </w:t>
      </w:r>
    </w:p>
    <w:p w14:paraId="29A0E47E" w14:textId="1AC88563" w:rsidR="001F5886" w:rsidRDefault="00B2646F" w:rsidP="00B2646F">
      <w:pPr>
        <w:pStyle w:val="SAABullets"/>
        <w:numPr>
          <w:ilvl w:val="0"/>
          <w:numId w:val="0"/>
        </w:numPr>
        <w:ind w:left="357"/>
        <w:rPr>
          <w:rFonts w:eastAsiaTheme="minorEastAsia"/>
        </w:rPr>
      </w:pPr>
      <w:r>
        <w:rPr>
          <w:rFonts w:eastAsiaTheme="minorEastAsia"/>
        </w:rPr>
        <w:t xml:space="preserve">and instead used a trial-and-error approach. Students are to be reminded that when using a trial-and-error approach, they must show consecutive values of </w:t>
      </w:r>
      <m:oMath>
        <m:r>
          <w:rPr>
            <w:rFonts w:ascii="Cambria Math" w:eastAsiaTheme="minorEastAsia" w:hAnsi="Cambria Math"/>
          </w:rPr>
          <m:t>k</m:t>
        </m:r>
      </m:oMath>
      <w:r>
        <w:rPr>
          <w:rFonts w:eastAsiaTheme="minorEastAsia"/>
        </w:rPr>
        <w:t xml:space="preserve"> ‘either side’ of when </w:t>
      </w: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k</m:t>
            </m:r>
          </m:sub>
        </m:sSub>
        <m:r>
          <w:rPr>
            <w:rFonts w:ascii="Cambria Math" w:eastAsiaTheme="minorEastAsia" w:hAnsi="Cambria Math"/>
          </w:rPr>
          <m:t>=3.5</m:t>
        </m:r>
      </m:oMath>
      <w:r>
        <w:rPr>
          <w:rFonts w:eastAsiaTheme="minorEastAsia"/>
        </w:rPr>
        <w:t xml:space="preserve"> (i.e. the last value of </w:t>
      </w:r>
      <m:oMath>
        <m:r>
          <w:rPr>
            <w:rFonts w:ascii="Cambria Math" w:eastAsiaTheme="minorEastAsia" w:hAnsi="Cambria Math"/>
          </w:rPr>
          <m:t>k</m:t>
        </m:r>
      </m:oMath>
      <w:r>
        <w:rPr>
          <w:rFonts w:eastAsiaTheme="minorEastAsia"/>
        </w:rPr>
        <w:t xml:space="preserve"> such that </w:t>
      </w: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k</m:t>
            </m:r>
          </m:sub>
        </m:sSub>
        <m:r>
          <w:rPr>
            <w:rFonts w:ascii="Cambria Math" w:eastAsiaTheme="minorEastAsia" w:hAnsi="Cambria Math"/>
          </w:rPr>
          <m:t>&gt;3.5</m:t>
        </m:r>
      </m:oMath>
      <w:r>
        <w:rPr>
          <w:rFonts w:eastAsiaTheme="minorEastAsia"/>
        </w:rPr>
        <w:t xml:space="preserve">, and the first value of </w:t>
      </w:r>
      <m:oMath>
        <m:r>
          <w:rPr>
            <w:rFonts w:ascii="Cambria Math" w:eastAsiaTheme="minorEastAsia" w:hAnsi="Cambria Math"/>
          </w:rPr>
          <m:t>k</m:t>
        </m:r>
      </m:oMath>
      <w:r>
        <w:rPr>
          <w:rFonts w:eastAsiaTheme="minorEastAsia"/>
        </w:rPr>
        <w:t xml:space="preserve"> such that </w:t>
      </w: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k</m:t>
            </m:r>
          </m:sub>
        </m:sSub>
        <m:r>
          <w:rPr>
            <w:rFonts w:ascii="Cambria Math" w:eastAsiaTheme="minorEastAsia" w:hAnsi="Cambria Math"/>
          </w:rPr>
          <m:t>&lt;3.5</m:t>
        </m:r>
      </m:oMath>
      <w:r>
        <w:rPr>
          <w:rFonts w:eastAsiaTheme="minorEastAsia"/>
        </w:rPr>
        <w:t xml:space="preserve">). </w:t>
      </w:r>
    </w:p>
    <w:p w14:paraId="1C6A6F19" w14:textId="77777777" w:rsidR="00B2646F" w:rsidRDefault="00B2646F" w:rsidP="00BE5510">
      <w:pPr>
        <w:pStyle w:val="SAAQuestion"/>
      </w:pPr>
      <w:r>
        <w:lastRenderedPageBreak/>
        <w:t>Question 11</w:t>
      </w:r>
    </w:p>
    <w:p w14:paraId="3A34C3D6" w14:textId="1A260CD2" w:rsidR="00B2646F" w:rsidRPr="00BE5510" w:rsidRDefault="00B2646F" w:rsidP="00A26E47">
      <w:pPr>
        <w:pStyle w:val="SAAbodytext"/>
      </w:pPr>
      <w:r w:rsidRPr="00BE5510">
        <w:t>The final question on this year's examination centred on calculus, required students to determine the most effective methods for solving problems involving unfamiliar functions</w:t>
      </w:r>
      <w:r w:rsidR="00E366DD" w:rsidRPr="00BE5510">
        <w:t xml:space="preserve">. </w:t>
      </w:r>
      <w:r w:rsidRPr="00BE5510">
        <w:t>The question started by plotting a hyperbolic function (using the equivalent functions containing exponentials), however, it quickly increased in complexity requiring students to use and prove new derivative rules</w:t>
      </w:r>
      <w:r w:rsidR="00E366DD" w:rsidRPr="00BE5510">
        <w:t xml:space="preserve">. </w:t>
      </w:r>
      <w:r w:rsidRPr="00BE5510">
        <w:t>It culminated with a question requiring students to replace the given hyperbolic functions with their equivalent functions containing exponentials (much like the graphing question) to allow an algebraic solution to follow</w:t>
      </w:r>
      <w:r w:rsidR="00E366DD" w:rsidRPr="00BE5510">
        <w:t xml:space="preserve">. </w:t>
      </w:r>
      <w:r w:rsidR="00A26E47" w:rsidRPr="00A26E47">
        <w:t>Despite the level of challenge presented by this question, responses demonstrated stronger performance than expected</w:t>
      </w:r>
      <w:r w:rsidRPr="00BE5510">
        <w:t>, with more than 30% of students achieving more than 50% of the marks on offer.</w:t>
      </w:r>
    </w:p>
    <w:p w14:paraId="1549B399" w14:textId="77777777" w:rsidR="00B2646F" w:rsidRDefault="00B2646F" w:rsidP="00BE5510">
      <w:pPr>
        <w:pStyle w:val="SAAmoreless"/>
      </w:pPr>
      <w:r>
        <w:t>The more successful responses commonly:</w:t>
      </w:r>
    </w:p>
    <w:p w14:paraId="477BB9AA" w14:textId="4E28F1F3" w:rsidR="00B2646F" w:rsidRDefault="00B2646F" w:rsidP="00BE5510">
      <w:pPr>
        <w:pStyle w:val="SAABullet"/>
      </w:pPr>
      <w:r>
        <w:t xml:space="preserve">drew a neat sketch of the function of </w:t>
      </w:r>
      <m:oMath>
        <m:r>
          <w:rPr>
            <w:rFonts w:ascii="Cambria Math" w:hAnsi="Cambria Math"/>
          </w:rPr>
          <m:t>y=</m:t>
        </m:r>
        <m:func>
          <m:funcPr>
            <m:ctrlPr>
              <w:rPr>
                <w:rFonts w:ascii="Cambria Math" w:hAnsi="Cambria Math"/>
                <w:i/>
              </w:rPr>
            </m:ctrlPr>
          </m:funcPr>
          <m:fName>
            <m:r>
              <m:rPr>
                <m:sty m:val="p"/>
              </m:rPr>
              <w:rPr>
                <w:rFonts w:ascii="Cambria Math" w:hAnsi="Cambria Math"/>
              </w:rPr>
              <m:t>cosh</m:t>
            </m:r>
          </m:fName>
          <m:e>
            <m:r>
              <w:rPr>
                <w:rFonts w:ascii="Cambria Math" w:hAnsi="Cambria Math"/>
              </w:rPr>
              <m:t>x</m:t>
            </m:r>
          </m:e>
        </m:func>
      </m:oMath>
      <w:r>
        <w:t xml:space="preserve">  in part (a) by entering it into their calculator using the equivalent functions containing exponentials</w:t>
      </w:r>
      <w:r w:rsidR="00E366DD">
        <w:t xml:space="preserve">. </w:t>
      </w:r>
      <w:r>
        <w:t>Some features of the graphs that ensured all marks were achieved were</w:t>
      </w:r>
      <w:r w:rsidR="00BE5510">
        <w:t>:</w:t>
      </w:r>
    </w:p>
    <w:p w14:paraId="708E9ABA" w14:textId="77777777" w:rsidR="00B2646F" w:rsidRDefault="00B2646F" w:rsidP="00BE5510">
      <w:pPr>
        <w:pStyle w:val="SAABullet2"/>
      </w:pPr>
      <w:r>
        <w:t xml:space="preserve">a local minimum at </w:t>
      </w:r>
      <m:oMath>
        <m:r>
          <w:rPr>
            <w:rFonts w:ascii="Cambria Math" w:hAnsi="Cambria Math"/>
          </w:rPr>
          <m:t>(0,1)</m:t>
        </m:r>
      </m:oMath>
      <w:r>
        <w:rPr>
          <w:rFonts w:eastAsiaTheme="minorEastAsia"/>
        </w:rPr>
        <w:t xml:space="preserve">. </w:t>
      </w:r>
    </w:p>
    <w:p w14:paraId="29D2C7F5" w14:textId="77777777" w:rsidR="00B2646F" w:rsidRDefault="00B2646F" w:rsidP="00BE5510">
      <w:pPr>
        <w:pStyle w:val="SAABullet2"/>
      </w:pPr>
      <w:r>
        <w:rPr>
          <w:rFonts w:eastAsiaTheme="minorEastAsia"/>
        </w:rPr>
        <w:t xml:space="preserve">symmetric about the line </w:t>
      </w:r>
      <m:oMath>
        <m:r>
          <w:rPr>
            <w:rFonts w:ascii="Cambria Math" w:eastAsiaTheme="minorEastAsia" w:hAnsi="Cambria Math"/>
          </w:rPr>
          <m:t>x=0</m:t>
        </m:r>
      </m:oMath>
    </w:p>
    <w:p w14:paraId="164DDB8C" w14:textId="77777777" w:rsidR="00B2646F" w:rsidRDefault="00B2646F" w:rsidP="00BE5510">
      <w:pPr>
        <w:pStyle w:val="SAABullet2"/>
      </w:pPr>
      <w:r>
        <w:rPr>
          <w:rFonts w:eastAsiaTheme="minorEastAsia"/>
        </w:rPr>
        <w:t xml:space="preserve">a curve that was never to the right of the existing shown function of </w:t>
      </w:r>
      <m:oMath>
        <m:r>
          <w:rPr>
            <w:rFonts w:ascii="Cambria Math" w:eastAsiaTheme="minorEastAsia" w:hAnsi="Cambria Math"/>
          </w:rPr>
          <m:t>y=</m:t>
        </m:r>
        <m:func>
          <m:funcPr>
            <m:ctrlPr>
              <w:rPr>
                <w:rFonts w:ascii="Cambria Math" w:eastAsiaTheme="minorEastAsia" w:hAnsi="Cambria Math"/>
                <w:i/>
                <w:color w:val="000000" w:themeColor="text1"/>
              </w:rPr>
            </m:ctrlPr>
          </m:funcPr>
          <m:fName>
            <m:r>
              <m:rPr>
                <m:sty m:val="p"/>
              </m:rPr>
              <w:rPr>
                <w:rFonts w:ascii="Cambria Math" w:eastAsiaTheme="minorEastAsia" w:hAnsi="Cambria Math"/>
              </w:rPr>
              <m:t>sinh</m:t>
            </m:r>
          </m:fName>
          <m:e>
            <m:r>
              <w:rPr>
                <w:rFonts w:ascii="Cambria Math" w:eastAsiaTheme="minorEastAsia" w:hAnsi="Cambria Math"/>
              </w:rPr>
              <m:t>x</m:t>
            </m:r>
          </m:e>
        </m:func>
      </m:oMath>
      <w:r>
        <w:rPr>
          <w:rFonts w:eastAsiaTheme="minorEastAsia"/>
        </w:rPr>
        <w:t>, asymptotically approaching it from the left</w:t>
      </w:r>
    </w:p>
    <w:p w14:paraId="43EC3FA8" w14:textId="77777777" w:rsidR="00B2646F" w:rsidRDefault="00B2646F" w:rsidP="00BE5510">
      <w:pPr>
        <w:pStyle w:val="SAABullet2"/>
      </w:pPr>
      <w:r>
        <w:rPr>
          <w:rFonts w:eastAsiaTheme="minorEastAsia"/>
        </w:rPr>
        <w:t xml:space="preserve">a curve that covered enough of the grid space in Figure 13 (i.e. some curves finished well below the largest y-value possible of </w:t>
      </w:r>
      <m:oMath>
        <m:r>
          <w:rPr>
            <w:rFonts w:ascii="Cambria Math" w:eastAsiaTheme="minorEastAsia" w:hAnsi="Cambria Math"/>
          </w:rPr>
          <m:t>y=10</m:t>
        </m:r>
      </m:oMath>
      <w:r>
        <w:rPr>
          <w:rFonts w:eastAsiaTheme="minorEastAsia"/>
        </w:rPr>
        <w:t>)</w:t>
      </w:r>
    </w:p>
    <w:p w14:paraId="5952F9E7" w14:textId="28BFC78E" w:rsidR="00B2646F" w:rsidRDefault="00BE5510" w:rsidP="00B2646F">
      <w:pPr>
        <w:pStyle w:val="SAABullets"/>
        <w:numPr>
          <w:ilvl w:val="0"/>
          <w:numId w:val="0"/>
        </w:numPr>
        <w:ind w:left="357"/>
        <w:rPr>
          <w:rFonts w:eastAsiaTheme="minorEastAsia"/>
        </w:rPr>
      </w:pPr>
      <w:r>
        <w:rPr>
          <w:rFonts w:eastAsiaTheme="minorEastAsia"/>
        </w:rPr>
        <w:t>S</w:t>
      </w:r>
      <w:r w:rsidR="00B2646F">
        <w:rPr>
          <w:rFonts w:eastAsiaTheme="minorEastAsia"/>
        </w:rPr>
        <w:t xml:space="preserve">tudents are encouraged to plot both the requested function (i.e. </w:t>
      </w:r>
      <m:oMath>
        <m:r>
          <w:rPr>
            <w:rFonts w:ascii="Cambria Math" w:eastAsiaTheme="minorEastAsia" w:hAnsi="Cambria Math"/>
          </w:rPr>
          <m:t>y=</m:t>
        </m:r>
        <m:func>
          <m:funcPr>
            <m:ctrlPr>
              <w:rPr>
                <w:rFonts w:ascii="Cambria Math" w:eastAsiaTheme="minorEastAsia" w:hAnsi="Cambria Math"/>
                <w:i/>
              </w:rPr>
            </m:ctrlPr>
          </m:funcPr>
          <m:fName>
            <m:r>
              <m:rPr>
                <m:sty m:val="p"/>
              </m:rPr>
              <w:rPr>
                <w:rFonts w:ascii="Cambria Math" w:eastAsiaTheme="minorEastAsia" w:hAnsi="Cambria Math"/>
              </w:rPr>
              <m:t>cosh</m:t>
            </m:r>
          </m:fName>
          <m:e>
            <m:r>
              <w:rPr>
                <w:rFonts w:ascii="Cambria Math" w:eastAsiaTheme="minorEastAsia" w:hAnsi="Cambria Math"/>
              </w:rPr>
              <m:t>x</m:t>
            </m:r>
          </m:e>
        </m:func>
      </m:oMath>
      <w:r w:rsidR="00B2646F">
        <w:rPr>
          <w:rFonts w:eastAsiaTheme="minorEastAsia"/>
        </w:rPr>
        <w:t xml:space="preserve">) </w:t>
      </w:r>
      <w:r w:rsidR="00B2646F">
        <w:rPr>
          <w:rFonts w:eastAsiaTheme="minorEastAsia"/>
          <w:i/>
          <w:iCs/>
        </w:rPr>
        <w:t>and</w:t>
      </w:r>
      <w:r w:rsidR="00B2646F">
        <w:rPr>
          <w:rFonts w:eastAsiaTheme="minorEastAsia"/>
        </w:rPr>
        <w:t xml:space="preserve"> the function provided in Figure 13 (i.e. </w:t>
      </w:r>
      <m:oMath>
        <m:r>
          <w:rPr>
            <w:rFonts w:ascii="Cambria Math" w:eastAsiaTheme="minorEastAsia" w:hAnsi="Cambria Math"/>
          </w:rPr>
          <m:t>y=</m:t>
        </m:r>
        <m:func>
          <m:funcPr>
            <m:ctrlPr>
              <w:rPr>
                <w:rFonts w:ascii="Cambria Math" w:eastAsiaTheme="minorEastAsia" w:hAnsi="Cambria Math"/>
                <w:i/>
              </w:rPr>
            </m:ctrlPr>
          </m:funcPr>
          <m:fName>
            <m:r>
              <m:rPr>
                <m:sty m:val="p"/>
              </m:rPr>
              <w:rPr>
                <w:rFonts w:ascii="Cambria Math" w:eastAsiaTheme="minorEastAsia" w:hAnsi="Cambria Math"/>
              </w:rPr>
              <m:t>sinh</m:t>
            </m:r>
          </m:fName>
          <m:e>
            <m:r>
              <w:rPr>
                <w:rFonts w:ascii="Cambria Math" w:eastAsiaTheme="minorEastAsia" w:hAnsi="Cambria Math"/>
              </w:rPr>
              <m:t>x</m:t>
            </m:r>
          </m:e>
        </m:func>
      </m:oMath>
      <w:r w:rsidR="00B2646F">
        <w:rPr>
          <w:rFonts w:eastAsiaTheme="minorEastAsia"/>
        </w:rPr>
        <w:t>) in their graphics calculator so that they can visualise how the functions interact</w:t>
      </w:r>
    </w:p>
    <w:p w14:paraId="5F4A0602" w14:textId="77777777" w:rsidR="00B2646F" w:rsidRDefault="00B2646F" w:rsidP="00BE5510">
      <w:pPr>
        <w:pStyle w:val="SAABullet"/>
      </w:pPr>
      <w:r>
        <w:t xml:space="preserve">used the given rules (in Table 2) in conjunction with the quotient rule to differentiate </w:t>
      </w:r>
      <m:oMath>
        <m:r>
          <w:rPr>
            <w:rFonts w:ascii="Cambria Math" w:hAnsi="Cambria Math"/>
          </w:rPr>
          <m:t>y=</m:t>
        </m:r>
        <m:func>
          <m:funcPr>
            <m:ctrlPr>
              <w:rPr>
                <w:rFonts w:ascii="Cambria Math" w:hAnsi="Cambria Math"/>
                <w:i/>
              </w:rPr>
            </m:ctrlPr>
          </m:funcPr>
          <m:fName>
            <m:r>
              <m:rPr>
                <m:sty m:val="p"/>
              </m:rPr>
              <w:rPr>
                <w:rFonts w:ascii="Cambria Math" w:hAnsi="Cambria Math"/>
              </w:rPr>
              <m:t>tanh</m:t>
            </m:r>
          </m:fName>
          <m:e>
            <m:r>
              <w:rPr>
                <w:rFonts w:ascii="Cambria Math" w:hAnsi="Cambria Math"/>
              </w:rPr>
              <m:t>x</m:t>
            </m:r>
          </m:e>
        </m:func>
      </m:oMath>
      <w:r>
        <w:t xml:space="preserve"> in part (b) with clear and thorough algebraic process evident. Although it was possible to replace </w:t>
      </w:r>
      <m:oMath>
        <m:r>
          <w:rPr>
            <w:rFonts w:ascii="Cambria Math" w:hAnsi="Cambria Math"/>
          </w:rPr>
          <m:t>y=</m:t>
        </m:r>
        <m:func>
          <m:funcPr>
            <m:ctrlPr>
              <w:rPr>
                <w:rFonts w:ascii="Cambria Math" w:hAnsi="Cambria Math"/>
                <w:i/>
              </w:rPr>
            </m:ctrlPr>
          </m:funcPr>
          <m:fName>
            <m:r>
              <m:rPr>
                <m:sty m:val="p"/>
              </m:rPr>
              <w:rPr>
                <w:rFonts w:ascii="Cambria Math" w:hAnsi="Cambria Math"/>
              </w:rPr>
              <m:t>tanh</m:t>
            </m:r>
          </m:fName>
          <m:e>
            <m:r>
              <w:rPr>
                <w:rFonts w:ascii="Cambria Math" w:hAnsi="Cambria Math"/>
              </w:rPr>
              <m:t>x</m:t>
            </m:r>
          </m:e>
        </m:func>
      </m:oMath>
      <w:r>
        <w:t xml:space="preserve"> with the equivalent function containing exponentials, the algebraic process required to reach the given result was a little more complex, often leading to errors</w:t>
      </w:r>
    </w:p>
    <w:p w14:paraId="35D55491" w14:textId="7ED05A83" w:rsidR="00B2646F" w:rsidRDefault="00B2646F" w:rsidP="00BE5510">
      <w:pPr>
        <w:pStyle w:val="SAABullet"/>
      </w:pPr>
      <w:r>
        <w:t>used their knowledge of the derivative rules of the course, and the rules given in the various tables in this question to correctly calculate the second derivative in part (c)(</w:t>
      </w:r>
      <w:proofErr w:type="spellStart"/>
      <w:r>
        <w:t>i</w:t>
      </w:r>
      <w:proofErr w:type="spellEnd"/>
      <w:r>
        <w:t>). Some algebraic steps successful students used were</w:t>
      </w:r>
      <w:r w:rsidR="00BE5510">
        <w:t>:</w:t>
      </w:r>
    </w:p>
    <w:p w14:paraId="541A1059" w14:textId="77777777" w:rsidR="00B2646F" w:rsidRDefault="00B2646F" w:rsidP="00BE5510">
      <w:pPr>
        <w:pStyle w:val="SAABullet2"/>
      </w:pPr>
      <w:r>
        <w:t xml:space="preserve">writing the </w:t>
      </w:r>
      <m:oMath>
        <m:r>
          <w:rPr>
            <w:rFonts w:ascii="Cambria Math" w:hAnsi="Cambria Math"/>
          </w:rPr>
          <m:t>10</m:t>
        </m:r>
        <m:d>
          <m:dPr>
            <m:ctrlPr>
              <w:rPr>
                <w:rFonts w:ascii="Cambria Math" w:hAnsi="Cambria Math"/>
                <w:i/>
                <w:color w:val="000000" w:themeColor="text1"/>
              </w:rPr>
            </m:ctrlPr>
          </m:dPr>
          <m:e>
            <m:f>
              <m:fPr>
                <m:ctrlPr>
                  <w:rPr>
                    <w:rFonts w:ascii="Cambria Math" w:hAnsi="Cambria Math"/>
                    <w:i/>
                    <w:color w:val="000000" w:themeColor="text1"/>
                  </w:rPr>
                </m:ctrlPr>
              </m:fPr>
              <m:num>
                <m:func>
                  <m:funcPr>
                    <m:ctrlPr>
                      <w:rPr>
                        <w:rFonts w:ascii="Cambria Math" w:hAnsi="Cambria Math"/>
                        <w:i/>
                        <w:color w:val="000000" w:themeColor="text1"/>
                      </w:rPr>
                    </m:ctrlPr>
                  </m:funcPr>
                  <m:fName>
                    <m:r>
                      <m:rPr>
                        <m:sty m:val="p"/>
                      </m:rPr>
                      <w:rPr>
                        <w:rFonts w:ascii="Cambria Math" w:hAnsi="Cambria Math"/>
                      </w:rPr>
                      <m:t>sinh</m:t>
                    </m:r>
                  </m:fName>
                  <m:e>
                    <m:r>
                      <w:rPr>
                        <w:rFonts w:ascii="Cambria Math" w:hAnsi="Cambria Math"/>
                      </w:rPr>
                      <m:t>x</m:t>
                    </m:r>
                  </m:e>
                </m:func>
              </m:num>
              <m:den>
                <m:func>
                  <m:funcPr>
                    <m:ctrlPr>
                      <w:rPr>
                        <w:rFonts w:ascii="Cambria Math" w:hAnsi="Cambria Math"/>
                        <w:i/>
                        <w:color w:val="000000" w:themeColor="text1"/>
                      </w:rPr>
                    </m:ctrlPr>
                  </m:funcPr>
                  <m:fName>
                    <m:r>
                      <m:rPr>
                        <m:sty m:val="p"/>
                      </m:rPr>
                      <w:rPr>
                        <w:rFonts w:ascii="Cambria Math" w:hAnsi="Cambria Math"/>
                      </w:rPr>
                      <m:t>cosh</m:t>
                    </m:r>
                  </m:fName>
                  <m:e>
                    <m:r>
                      <w:rPr>
                        <w:rFonts w:ascii="Cambria Math" w:hAnsi="Cambria Math"/>
                      </w:rPr>
                      <m:t>x</m:t>
                    </m:r>
                  </m:e>
                </m:func>
              </m:den>
            </m:f>
          </m:e>
        </m:d>
      </m:oMath>
      <w:r>
        <w:t xml:space="preserve"> term in </w:t>
      </w:r>
      <m:oMath>
        <m:r>
          <w:rPr>
            <w:rFonts w:ascii="Cambria Math" w:hAnsi="Cambria Math"/>
          </w:rPr>
          <m:t>f'(x)</m:t>
        </m:r>
      </m:oMath>
      <w:r>
        <w:t xml:space="preserve"> as </w:t>
      </w:r>
      <m:oMath>
        <m:func>
          <m:funcPr>
            <m:ctrlPr>
              <w:rPr>
                <w:rFonts w:ascii="Cambria Math" w:hAnsi="Cambria Math"/>
                <w:i/>
                <w:color w:val="000000" w:themeColor="text1"/>
              </w:rPr>
            </m:ctrlPr>
          </m:funcPr>
          <m:fName>
            <m:r>
              <m:rPr>
                <m:sty m:val="p"/>
              </m:rPr>
              <w:rPr>
                <w:rFonts w:ascii="Cambria Math" w:hAnsi="Cambria Math"/>
              </w:rPr>
              <m:t>10tanh</m:t>
            </m:r>
          </m:fName>
          <m:e>
            <m:r>
              <w:rPr>
                <w:rFonts w:ascii="Cambria Math" w:hAnsi="Cambria Math"/>
              </w:rPr>
              <m:t>x</m:t>
            </m:r>
          </m:e>
        </m:func>
      </m:oMath>
      <w:r>
        <w:t xml:space="preserve"> to allow the second derivative to be found more easily, rather than relying on the quotient rule (which often repeated part (b))</w:t>
      </w:r>
    </w:p>
    <w:p w14:paraId="06F1FFBA" w14:textId="77777777" w:rsidR="00B2646F" w:rsidRDefault="00B2646F" w:rsidP="00BE5510">
      <w:pPr>
        <w:pStyle w:val="SAABullet2"/>
      </w:pPr>
      <w:r>
        <w:t xml:space="preserve">writing the </w:t>
      </w:r>
      <m:oMath>
        <m:f>
          <m:fPr>
            <m:ctrlPr>
              <w:rPr>
                <w:rFonts w:ascii="Cambria Math" w:hAnsi="Cambria Math"/>
                <w:i/>
                <w:color w:val="000000" w:themeColor="text1"/>
              </w:rPr>
            </m:ctrlPr>
          </m:fPr>
          <m:num>
            <m:r>
              <w:rPr>
                <w:rFonts w:ascii="Cambria Math" w:hAnsi="Cambria Math"/>
              </w:rPr>
              <m:t>13</m:t>
            </m:r>
          </m:num>
          <m:den>
            <m:sSup>
              <m:sSupPr>
                <m:ctrlPr>
                  <w:rPr>
                    <w:rFonts w:ascii="Cambria Math" w:hAnsi="Cambria Math"/>
                    <w:i/>
                    <w:color w:val="000000" w:themeColor="text1"/>
                  </w:rPr>
                </m:ctrlPr>
              </m:sSupPr>
              <m:e>
                <m:d>
                  <m:dPr>
                    <m:ctrlPr>
                      <w:rPr>
                        <w:rFonts w:ascii="Cambria Math" w:hAnsi="Cambria Math"/>
                        <w:i/>
                        <w:color w:val="000000" w:themeColor="text1"/>
                      </w:rPr>
                    </m:ctrlPr>
                  </m:dPr>
                  <m:e>
                    <m:func>
                      <m:funcPr>
                        <m:ctrlPr>
                          <w:rPr>
                            <w:rFonts w:ascii="Cambria Math" w:hAnsi="Cambria Math"/>
                            <w:i/>
                            <w:color w:val="000000" w:themeColor="text1"/>
                          </w:rPr>
                        </m:ctrlPr>
                      </m:funcPr>
                      <m:fName>
                        <m:r>
                          <m:rPr>
                            <m:sty m:val="p"/>
                          </m:rPr>
                          <w:rPr>
                            <w:rFonts w:ascii="Cambria Math" w:hAnsi="Cambria Math"/>
                          </w:rPr>
                          <m:t>cosh</m:t>
                        </m:r>
                      </m:fName>
                      <m:e>
                        <m:r>
                          <w:rPr>
                            <w:rFonts w:ascii="Cambria Math" w:hAnsi="Cambria Math"/>
                          </w:rPr>
                          <m:t>x</m:t>
                        </m:r>
                      </m:e>
                    </m:func>
                  </m:e>
                </m:d>
              </m:e>
              <m:sup>
                <m:r>
                  <w:rPr>
                    <w:rFonts w:ascii="Cambria Math" w:hAnsi="Cambria Math"/>
                  </w:rPr>
                  <m:t>2</m:t>
                </m:r>
              </m:sup>
            </m:sSup>
          </m:den>
        </m:f>
      </m:oMath>
      <w:r>
        <w:t xml:space="preserve"> term in </w:t>
      </w:r>
      <m:oMath>
        <m:r>
          <w:rPr>
            <w:rFonts w:ascii="Cambria Math" w:hAnsi="Cambria Math"/>
          </w:rPr>
          <m:t>f'(x)</m:t>
        </m:r>
      </m:oMath>
      <w:r>
        <w:t xml:space="preserve"> as </w:t>
      </w:r>
      <m:oMath>
        <m:r>
          <w:rPr>
            <w:rFonts w:ascii="Cambria Math" w:hAnsi="Cambria Math"/>
          </w:rPr>
          <m:t>13</m:t>
        </m:r>
        <m:sSup>
          <m:sSupPr>
            <m:ctrlPr>
              <w:rPr>
                <w:rFonts w:ascii="Cambria Math" w:hAnsi="Cambria Math"/>
                <w:i/>
                <w:color w:val="000000" w:themeColor="text1"/>
              </w:rPr>
            </m:ctrlPr>
          </m:sSupPr>
          <m:e>
            <m:d>
              <m:dPr>
                <m:ctrlPr>
                  <w:rPr>
                    <w:rFonts w:ascii="Cambria Math" w:hAnsi="Cambria Math"/>
                    <w:i/>
                    <w:color w:val="000000" w:themeColor="text1"/>
                  </w:rPr>
                </m:ctrlPr>
              </m:dPr>
              <m:e>
                <m:func>
                  <m:funcPr>
                    <m:ctrlPr>
                      <w:rPr>
                        <w:rFonts w:ascii="Cambria Math" w:hAnsi="Cambria Math"/>
                        <w:i/>
                        <w:color w:val="000000" w:themeColor="text1"/>
                      </w:rPr>
                    </m:ctrlPr>
                  </m:funcPr>
                  <m:fName>
                    <m:r>
                      <m:rPr>
                        <m:sty m:val="p"/>
                      </m:rPr>
                      <w:rPr>
                        <w:rFonts w:ascii="Cambria Math" w:hAnsi="Cambria Math"/>
                      </w:rPr>
                      <m:t>cosh</m:t>
                    </m:r>
                  </m:fName>
                  <m:e>
                    <m:r>
                      <w:rPr>
                        <w:rFonts w:ascii="Cambria Math" w:hAnsi="Cambria Math"/>
                      </w:rPr>
                      <m:t>x</m:t>
                    </m:r>
                  </m:e>
                </m:func>
              </m:e>
            </m:d>
          </m:e>
          <m:sup>
            <m:r>
              <w:rPr>
                <w:rFonts w:ascii="Cambria Math" w:hAnsi="Cambria Math"/>
              </w:rPr>
              <m:t>-2</m:t>
            </m:r>
          </m:sup>
        </m:sSup>
      </m:oMath>
      <w:r>
        <w:t xml:space="preserve"> </w:t>
      </w:r>
      <w:r>
        <w:rPr>
          <w:color w:val="auto"/>
        </w:rPr>
        <w:t>so that the chain rule could be implemented</w:t>
      </w:r>
    </w:p>
    <w:p w14:paraId="0CEC2A70" w14:textId="77777777" w:rsidR="00B2646F" w:rsidRDefault="00B2646F" w:rsidP="00BE5510">
      <w:pPr>
        <w:pStyle w:val="SAABullet2"/>
      </w:pPr>
      <w:r>
        <w:t xml:space="preserve">after finding </w:t>
      </w:r>
      <m:oMath>
        <m:r>
          <w:rPr>
            <w:rFonts w:ascii="Cambria Math" w:hAnsi="Cambria Math"/>
          </w:rPr>
          <m:t>f''(x)</m:t>
        </m:r>
      </m:oMath>
      <w:r>
        <w:t>, removing negative indices and showing evidence of a common denominator</w:t>
      </w:r>
    </w:p>
    <w:p w14:paraId="5B24B013" w14:textId="77777777" w:rsidR="00B2646F" w:rsidRDefault="00B2646F" w:rsidP="00B2646F">
      <w:pPr>
        <w:pStyle w:val="SAABullets"/>
        <w:numPr>
          <w:ilvl w:val="0"/>
          <w:numId w:val="0"/>
        </w:numPr>
        <w:ind w:left="717"/>
        <w:rPr>
          <w:rFonts w:eastAsiaTheme="minorEastAsia"/>
        </w:rPr>
      </w:pPr>
      <w:r>
        <w:t xml:space="preserve">i.e. </w:t>
      </w:r>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x</m:t>
            </m:r>
          </m:e>
        </m:d>
        <m:r>
          <w:rPr>
            <w:rFonts w:ascii="Cambria Math" w:hAnsi="Cambria Math"/>
          </w:rPr>
          <m:t>=-26</m:t>
        </m:r>
        <m:sSup>
          <m:sSupPr>
            <m:ctrlPr>
              <w:rPr>
                <w:rFonts w:ascii="Cambria Math" w:hAnsi="Cambria Math"/>
                <w:i/>
              </w:rPr>
            </m:ctrlPr>
          </m:sSupPr>
          <m:e>
            <m:d>
              <m:dPr>
                <m:ctrlPr>
                  <w:rPr>
                    <w:rFonts w:ascii="Cambria Math" w:hAnsi="Cambria Math"/>
                    <w:i/>
                  </w:rPr>
                </m:ctrlPr>
              </m:dPr>
              <m:e>
                <m:func>
                  <m:funcPr>
                    <m:ctrlPr>
                      <w:rPr>
                        <w:rFonts w:ascii="Cambria Math" w:hAnsi="Cambria Math"/>
                        <w:i/>
                      </w:rPr>
                    </m:ctrlPr>
                  </m:funcPr>
                  <m:fName>
                    <m:r>
                      <m:rPr>
                        <m:sty m:val="p"/>
                      </m:rPr>
                      <w:rPr>
                        <w:rFonts w:ascii="Cambria Math" w:hAnsi="Cambria Math"/>
                      </w:rPr>
                      <m:t>cosh</m:t>
                    </m:r>
                  </m:fName>
                  <m:e>
                    <m:r>
                      <w:rPr>
                        <w:rFonts w:ascii="Cambria Math" w:hAnsi="Cambria Math"/>
                      </w:rPr>
                      <m:t>x</m:t>
                    </m:r>
                  </m:e>
                </m:func>
              </m:e>
            </m:d>
          </m:e>
          <m:sup>
            <m:r>
              <w:rPr>
                <w:rFonts w:ascii="Cambria Math" w:hAnsi="Cambria Math"/>
              </w:rPr>
              <m:t>-3</m:t>
            </m:r>
          </m:sup>
        </m:sSup>
        <m:d>
          <m:dPr>
            <m:ctrlPr>
              <w:rPr>
                <w:rFonts w:ascii="Cambria Math" w:hAnsi="Cambria Math"/>
                <w:i/>
              </w:rPr>
            </m:ctrlPr>
          </m:dPr>
          <m:e>
            <m:func>
              <m:funcPr>
                <m:ctrlPr>
                  <w:rPr>
                    <w:rFonts w:ascii="Cambria Math" w:hAnsi="Cambria Math"/>
                    <w:i/>
                  </w:rPr>
                </m:ctrlPr>
              </m:funcPr>
              <m:fName>
                <m:r>
                  <m:rPr>
                    <m:sty m:val="p"/>
                  </m:rPr>
                  <w:rPr>
                    <w:rFonts w:ascii="Cambria Math" w:hAnsi="Cambria Math"/>
                  </w:rPr>
                  <m:t>sinh</m:t>
                </m:r>
              </m:fName>
              <m:e>
                <m:r>
                  <w:rPr>
                    <w:rFonts w:ascii="Cambria Math" w:hAnsi="Cambria Math"/>
                  </w:rPr>
                  <m:t>x</m:t>
                </m:r>
              </m:e>
            </m:func>
          </m:e>
        </m:d>
        <m:r>
          <w:rPr>
            <w:rFonts w:ascii="Cambria Math" w:hAnsi="Cambria Math"/>
          </w:rPr>
          <m:t>+</m:t>
        </m:r>
        <m:f>
          <m:fPr>
            <m:ctrlPr>
              <w:rPr>
                <w:rFonts w:ascii="Cambria Math" w:hAnsi="Cambria Math"/>
                <w:i/>
              </w:rPr>
            </m:ctrlPr>
          </m:fPr>
          <m:num>
            <m:r>
              <w:rPr>
                <w:rFonts w:ascii="Cambria Math" w:hAnsi="Cambria Math"/>
              </w:rPr>
              <m:t>10</m:t>
            </m:r>
          </m:num>
          <m:den>
            <m:sSup>
              <m:sSupPr>
                <m:ctrlPr>
                  <w:rPr>
                    <w:rFonts w:ascii="Cambria Math" w:hAnsi="Cambria Math"/>
                    <w:i/>
                  </w:rPr>
                </m:ctrlPr>
              </m:sSupPr>
              <m:e>
                <m:d>
                  <m:dPr>
                    <m:ctrlPr>
                      <w:rPr>
                        <w:rFonts w:ascii="Cambria Math" w:hAnsi="Cambria Math"/>
                        <w:i/>
                      </w:rPr>
                    </m:ctrlPr>
                  </m:dPr>
                  <m:e>
                    <m:func>
                      <m:funcPr>
                        <m:ctrlPr>
                          <w:rPr>
                            <w:rFonts w:ascii="Cambria Math" w:hAnsi="Cambria Math"/>
                            <w:i/>
                          </w:rPr>
                        </m:ctrlPr>
                      </m:funcPr>
                      <m:fName>
                        <m:r>
                          <m:rPr>
                            <m:sty m:val="p"/>
                          </m:rPr>
                          <w:rPr>
                            <w:rFonts w:ascii="Cambria Math" w:hAnsi="Cambria Math"/>
                          </w:rPr>
                          <m:t>cosh</m:t>
                        </m:r>
                      </m:fName>
                      <m:e>
                        <m:r>
                          <w:rPr>
                            <w:rFonts w:ascii="Cambria Math" w:hAnsi="Cambria Math"/>
                          </w:rPr>
                          <m:t>x</m:t>
                        </m:r>
                      </m:e>
                    </m:func>
                  </m:e>
                </m:d>
              </m:e>
              <m:sup>
                <m:r>
                  <w:rPr>
                    <w:rFonts w:ascii="Cambria Math" w:hAnsi="Cambria Math"/>
                  </w:rPr>
                  <m:t>2</m:t>
                </m:r>
              </m:sup>
            </m:sSup>
          </m:den>
        </m:f>
        <m:r>
          <w:rPr>
            <w:rFonts w:ascii="Cambria Math" w:hAnsi="Cambria Math"/>
          </w:rPr>
          <m:t>=</m:t>
        </m:r>
        <m:f>
          <m:fPr>
            <m:ctrlPr>
              <w:rPr>
                <w:rFonts w:ascii="Cambria Math" w:hAnsi="Cambria Math"/>
                <w:i/>
              </w:rPr>
            </m:ctrlPr>
          </m:fPr>
          <m:num>
            <m:r>
              <w:rPr>
                <w:rFonts w:ascii="Cambria Math" w:hAnsi="Cambria Math"/>
              </w:rPr>
              <m:t>-26</m:t>
            </m:r>
            <m:func>
              <m:funcPr>
                <m:ctrlPr>
                  <w:rPr>
                    <w:rFonts w:ascii="Cambria Math" w:hAnsi="Cambria Math"/>
                    <w:i/>
                  </w:rPr>
                </m:ctrlPr>
              </m:funcPr>
              <m:fName>
                <m:r>
                  <m:rPr>
                    <m:sty m:val="p"/>
                  </m:rPr>
                  <w:rPr>
                    <w:rFonts w:ascii="Cambria Math" w:hAnsi="Cambria Math"/>
                  </w:rPr>
                  <m:t>sinh</m:t>
                </m:r>
              </m:fName>
              <m:e>
                <m:r>
                  <w:rPr>
                    <w:rFonts w:ascii="Cambria Math" w:hAnsi="Cambria Math"/>
                  </w:rPr>
                  <m:t>x</m:t>
                </m:r>
              </m:e>
            </m:func>
          </m:num>
          <m:den>
            <m:sSup>
              <m:sSupPr>
                <m:ctrlPr>
                  <w:rPr>
                    <w:rFonts w:ascii="Cambria Math" w:hAnsi="Cambria Math"/>
                    <w:i/>
                  </w:rPr>
                </m:ctrlPr>
              </m:sSupPr>
              <m:e>
                <m:d>
                  <m:dPr>
                    <m:ctrlPr>
                      <w:rPr>
                        <w:rFonts w:ascii="Cambria Math" w:hAnsi="Cambria Math"/>
                        <w:i/>
                      </w:rPr>
                    </m:ctrlPr>
                  </m:dPr>
                  <m:e>
                    <m:func>
                      <m:funcPr>
                        <m:ctrlPr>
                          <w:rPr>
                            <w:rFonts w:ascii="Cambria Math" w:hAnsi="Cambria Math"/>
                            <w:i/>
                          </w:rPr>
                        </m:ctrlPr>
                      </m:funcPr>
                      <m:fName>
                        <m:r>
                          <m:rPr>
                            <m:sty m:val="p"/>
                          </m:rPr>
                          <w:rPr>
                            <w:rFonts w:ascii="Cambria Math" w:hAnsi="Cambria Math"/>
                          </w:rPr>
                          <m:t>cosh</m:t>
                        </m:r>
                      </m:fName>
                      <m:e>
                        <m:r>
                          <w:rPr>
                            <w:rFonts w:ascii="Cambria Math" w:hAnsi="Cambria Math"/>
                          </w:rPr>
                          <m:t>x</m:t>
                        </m:r>
                      </m:e>
                    </m:func>
                  </m:e>
                </m:d>
              </m:e>
              <m:sup>
                <m:r>
                  <w:rPr>
                    <w:rFonts w:ascii="Cambria Math" w:hAnsi="Cambria Math"/>
                  </w:rPr>
                  <m:t>3</m:t>
                </m:r>
              </m:sup>
            </m:sSup>
          </m:den>
        </m:f>
        <m:r>
          <w:rPr>
            <w:rFonts w:ascii="Cambria Math" w:hAnsi="Cambria Math"/>
          </w:rPr>
          <m:t>+</m:t>
        </m:r>
        <m:f>
          <m:fPr>
            <m:ctrlPr>
              <w:rPr>
                <w:rFonts w:ascii="Cambria Math" w:hAnsi="Cambria Math"/>
                <w:i/>
              </w:rPr>
            </m:ctrlPr>
          </m:fPr>
          <m:num>
            <m:r>
              <w:rPr>
                <w:rFonts w:ascii="Cambria Math" w:hAnsi="Cambria Math"/>
              </w:rPr>
              <m:t>10</m:t>
            </m:r>
          </m:num>
          <m:den>
            <m:sSup>
              <m:sSupPr>
                <m:ctrlPr>
                  <w:rPr>
                    <w:rFonts w:ascii="Cambria Math" w:hAnsi="Cambria Math"/>
                    <w:i/>
                  </w:rPr>
                </m:ctrlPr>
              </m:sSupPr>
              <m:e>
                <m:d>
                  <m:dPr>
                    <m:ctrlPr>
                      <w:rPr>
                        <w:rFonts w:ascii="Cambria Math" w:hAnsi="Cambria Math"/>
                        <w:i/>
                      </w:rPr>
                    </m:ctrlPr>
                  </m:dPr>
                  <m:e>
                    <m:func>
                      <m:funcPr>
                        <m:ctrlPr>
                          <w:rPr>
                            <w:rFonts w:ascii="Cambria Math" w:hAnsi="Cambria Math"/>
                            <w:i/>
                          </w:rPr>
                        </m:ctrlPr>
                      </m:funcPr>
                      <m:fName>
                        <m:r>
                          <m:rPr>
                            <m:sty m:val="p"/>
                          </m:rPr>
                          <w:rPr>
                            <w:rFonts w:ascii="Cambria Math" w:hAnsi="Cambria Math"/>
                          </w:rPr>
                          <m:t>cosh</m:t>
                        </m:r>
                      </m:fName>
                      <m:e>
                        <m:r>
                          <w:rPr>
                            <w:rFonts w:ascii="Cambria Math" w:hAnsi="Cambria Math"/>
                          </w:rPr>
                          <m:t>x</m:t>
                        </m:r>
                      </m:e>
                    </m:func>
                  </m:e>
                </m:d>
              </m:e>
              <m:sup>
                <m:r>
                  <w:rPr>
                    <w:rFonts w:ascii="Cambria Math" w:hAnsi="Cambria Math"/>
                  </w:rPr>
                  <m:t>2</m:t>
                </m:r>
              </m:sup>
            </m:sSup>
          </m:den>
        </m:f>
        <m:r>
          <w:rPr>
            <w:rFonts w:ascii="Cambria Math" w:hAnsi="Cambria Math"/>
          </w:rPr>
          <m:t>=</m:t>
        </m:r>
        <m:f>
          <m:fPr>
            <m:ctrlPr>
              <w:rPr>
                <w:rFonts w:ascii="Cambria Math" w:hAnsi="Cambria Math"/>
                <w:i/>
              </w:rPr>
            </m:ctrlPr>
          </m:fPr>
          <m:num>
            <m:r>
              <w:rPr>
                <w:rFonts w:ascii="Cambria Math" w:hAnsi="Cambria Math"/>
              </w:rPr>
              <m:t>-26</m:t>
            </m:r>
            <m:func>
              <m:funcPr>
                <m:ctrlPr>
                  <w:rPr>
                    <w:rFonts w:ascii="Cambria Math" w:hAnsi="Cambria Math"/>
                    <w:i/>
                  </w:rPr>
                </m:ctrlPr>
              </m:funcPr>
              <m:fName>
                <m:r>
                  <m:rPr>
                    <m:sty m:val="p"/>
                  </m:rPr>
                  <w:rPr>
                    <w:rFonts w:ascii="Cambria Math" w:hAnsi="Cambria Math"/>
                  </w:rPr>
                  <m:t>sinh</m:t>
                </m:r>
              </m:fName>
              <m:e>
                <m:r>
                  <w:rPr>
                    <w:rFonts w:ascii="Cambria Math" w:hAnsi="Cambria Math"/>
                  </w:rPr>
                  <m:t>x</m:t>
                </m:r>
              </m:e>
            </m:func>
          </m:num>
          <m:den>
            <m:sSup>
              <m:sSupPr>
                <m:ctrlPr>
                  <w:rPr>
                    <w:rFonts w:ascii="Cambria Math" w:hAnsi="Cambria Math"/>
                    <w:i/>
                  </w:rPr>
                </m:ctrlPr>
              </m:sSupPr>
              <m:e>
                <m:d>
                  <m:dPr>
                    <m:ctrlPr>
                      <w:rPr>
                        <w:rFonts w:ascii="Cambria Math" w:hAnsi="Cambria Math"/>
                        <w:i/>
                      </w:rPr>
                    </m:ctrlPr>
                  </m:dPr>
                  <m:e>
                    <m:func>
                      <m:funcPr>
                        <m:ctrlPr>
                          <w:rPr>
                            <w:rFonts w:ascii="Cambria Math" w:hAnsi="Cambria Math"/>
                            <w:i/>
                          </w:rPr>
                        </m:ctrlPr>
                      </m:funcPr>
                      <m:fName>
                        <m:r>
                          <m:rPr>
                            <m:sty m:val="p"/>
                          </m:rPr>
                          <w:rPr>
                            <w:rFonts w:ascii="Cambria Math" w:hAnsi="Cambria Math"/>
                          </w:rPr>
                          <m:t>cosh</m:t>
                        </m:r>
                      </m:fName>
                      <m:e>
                        <m:r>
                          <w:rPr>
                            <w:rFonts w:ascii="Cambria Math" w:hAnsi="Cambria Math"/>
                          </w:rPr>
                          <m:t>x</m:t>
                        </m:r>
                      </m:e>
                    </m:func>
                  </m:e>
                </m:d>
              </m:e>
              <m:sup>
                <m:r>
                  <w:rPr>
                    <w:rFonts w:ascii="Cambria Math" w:hAnsi="Cambria Math"/>
                  </w:rPr>
                  <m:t>3</m:t>
                </m:r>
              </m:sup>
            </m:sSup>
          </m:den>
        </m:f>
        <m:r>
          <w:rPr>
            <w:rFonts w:ascii="Cambria Math" w:hAnsi="Cambria Math"/>
          </w:rPr>
          <m:t>+</m:t>
        </m:r>
        <m:f>
          <m:fPr>
            <m:ctrlPr>
              <w:rPr>
                <w:rFonts w:ascii="Cambria Math" w:hAnsi="Cambria Math"/>
                <w:i/>
              </w:rPr>
            </m:ctrlPr>
          </m:fPr>
          <m:num>
            <m:r>
              <w:rPr>
                <w:rFonts w:ascii="Cambria Math" w:hAnsi="Cambria Math"/>
              </w:rPr>
              <m:t>10×</m:t>
            </m:r>
            <m:func>
              <m:funcPr>
                <m:ctrlPr>
                  <w:rPr>
                    <w:rFonts w:ascii="Cambria Math" w:hAnsi="Cambria Math"/>
                    <w:i/>
                  </w:rPr>
                </m:ctrlPr>
              </m:funcPr>
              <m:fName>
                <m:r>
                  <m:rPr>
                    <m:sty m:val="p"/>
                  </m:rPr>
                  <w:rPr>
                    <w:rFonts w:ascii="Cambria Math" w:hAnsi="Cambria Math"/>
                  </w:rPr>
                  <m:t>cosh</m:t>
                </m:r>
              </m:fName>
              <m:e>
                <m:r>
                  <w:rPr>
                    <w:rFonts w:ascii="Cambria Math" w:hAnsi="Cambria Math"/>
                  </w:rPr>
                  <m:t>x</m:t>
                </m:r>
              </m:e>
            </m:func>
          </m:num>
          <m:den>
            <m:sSup>
              <m:sSupPr>
                <m:ctrlPr>
                  <w:rPr>
                    <w:rFonts w:ascii="Cambria Math" w:hAnsi="Cambria Math"/>
                    <w:i/>
                  </w:rPr>
                </m:ctrlPr>
              </m:sSupPr>
              <m:e>
                <m:d>
                  <m:dPr>
                    <m:ctrlPr>
                      <w:rPr>
                        <w:rFonts w:ascii="Cambria Math" w:hAnsi="Cambria Math"/>
                        <w:i/>
                      </w:rPr>
                    </m:ctrlPr>
                  </m:dPr>
                  <m:e>
                    <m:func>
                      <m:funcPr>
                        <m:ctrlPr>
                          <w:rPr>
                            <w:rFonts w:ascii="Cambria Math" w:hAnsi="Cambria Math"/>
                            <w:i/>
                          </w:rPr>
                        </m:ctrlPr>
                      </m:funcPr>
                      <m:fName>
                        <m:r>
                          <m:rPr>
                            <m:sty m:val="p"/>
                          </m:rPr>
                          <w:rPr>
                            <w:rFonts w:ascii="Cambria Math" w:hAnsi="Cambria Math"/>
                          </w:rPr>
                          <m:t>cosh</m:t>
                        </m:r>
                      </m:fName>
                      <m:e>
                        <m:r>
                          <w:rPr>
                            <w:rFonts w:ascii="Cambria Math" w:hAnsi="Cambria Math"/>
                          </w:rPr>
                          <m:t>x</m:t>
                        </m:r>
                      </m:e>
                    </m:func>
                  </m:e>
                </m:d>
              </m:e>
              <m:sup>
                <m:r>
                  <w:rPr>
                    <w:rFonts w:ascii="Cambria Math" w:hAnsi="Cambria Math"/>
                  </w:rPr>
                  <m:t>2</m:t>
                </m:r>
              </m:sup>
            </m:sSup>
            <m:r>
              <w:rPr>
                <w:rFonts w:ascii="Cambria Math" w:hAnsi="Cambria Math"/>
              </w:rPr>
              <m:t>×</m:t>
            </m:r>
            <m:func>
              <m:funcPr>
                <m:ctrlPr>
                  <w:rPr>
                    <w:rFonts w:ascii="Cambria Math" w:hAnsi="Cambria Math"/>
                    <w:i/>
                  </w:rPr>
                </m:ctrlPr>
              </m:funcPr>
              <m:fName>
                <m:r>
                  <m:rPr>
                    <m:sty m:val="p"/>
                  </m:rPr>
                  <w:rPr>
                    <w:rFonts w:ascii="Cambria Math" w:hAnsi="Cambria Math"/>
                  </w:rPr>
                  <m:t>cosh</m:t>
                </m:r>
              </m:fName>
              <m:e>
                <m:r>
                  <w:rPr>
                    <w:rFonts w:ascii="Cambria Math" w:hAnsi="Cambria Math"/>
                  </w:rPr>
                  <m:t>x</m:t>
                </m:r>
              </m:e>
            </m:func>
          </m:den>
        </m:f>
      </m:oMath>
    </w:p>
    <w:p w14:paraId="2983BB3F" w14:textId="32C261D7" w:rsidR="00B2646F" w:rsidRDefault="00BE5510" w:rsidP="00B2646F">
      <w:pPr>
        <w:pStyle w:val="SAABullets"/>
        <w:numPr>
          <w:ilvl w:val="0"/>
          <w:numId w:val="0"/>
        </w:numPr>
        <w:ind w:left="357"/>
      </w:pPr>
      <w:r>
        <w:t>It i</w:t>
      </w:r>
      <w:r w:rsidR="00B2646F">
        <w:t>s worth noting that much like in part (b), there were many possible algebraic paths available for students to reach the desired result</w:t>
      </w:r>
      <w:r w:rsidR="00E366DD">
        <w:t xml:space="preserve">. </w:t>
      </w:r>
      <w:r w:rsidR="00B2646F">
        <w:t>Some of the less successful approaches will be discussed on the next page</w:t>
      </w:r>
    </w:p>
    <w:p w14:paraId="3DB31A68" w14:textId="63A26A7E" w:rsidR="00B2646F" w:rsidRDefault="00B2646F" w:rsidP="00B2646F">
      <w:pPr>
        <w:pStyle w:val="SAABullets"/>
      </w:pPr>
      <w:r>
        <w:t xml:space="preserve">used a concise well executed approach to determine the </w:t>
      </w:r>
      <m:oMath>
        <m:r>
          <w:rPr>
            <w:rFonts w:ascii="Cambria Math" w:hAnsi="Cambria Math"/>
          </w:rPr>
          <m:t>x</m:t>
        </m:r>
      </m:oMath>
      <w:r>
        <w:rPr>
          <w:rFonts w:eastAsiaTheme="minorEastAsia"/>
        </w:rPr>
        <w:t>-coordinate of the inflection point in part (c)(ii)</w:t>
      </w:r>
      <w:r w:rsidR="00E366DD">
        <w:rPr>
          <w:rFonts w:eastAsiaTheme="minorEastAsia"/>
        </w:rPr>
        <w:t xml:space="preserve">. </w:t>
      </w:r>
      <w:r>
        <w:rPr>
          <w:rFonts w:eastAsiaTheme="minorEastAsia"/>
        </w:rPr>
        <w:t>Some common steps (often implemented in different orders) were</w:t>
      </w:r>
      <w:r w:rsidR="00BE5510">
        <w:rPr>
          <w:rFonts w:eastAsiaTheme="minorEastAsia"/>
        </w:rPr>
        <w:t>:</w:t>
      </w:r>
    </w:p>
    <w:p w14:paraId="1B08DC4E" w14:textId="77777777" w:rsidR="00B2646F" w:rsidRDefault="00B2646F" w:rsidP="00BE5510">
      <w:pPr>
        <w:pStyle w:val="SAABullet2"/>
      </w:pPr>
      <w:r>
        <w:t xml:space="preserve">setting </w:t>
      </w:r>
      <m:oMath>
        <m:sSup>
          <m:sSupPr>
            <m:ctrlPr>
              <w:rPr>
                <w:rFonts w:ascii="Cambria Math" w:hAnsi="Cambria Math"/>
                <w:i/>
                <w:color w:val="000000" w:themeColor="text1"/>
              </w:rPr>
            </m:ctrlPr>
          </m:sSupPr>
          <m:e>
            <m:r>
              <w:rPr>
                <w:rFonts w:ascii="Cambria Math" w:hAnsi="Cambria Math"/>
              </w:rPr>
              <m:t>f</m:t>
            </m:r>
          </m:e>
          <m:sup>
            <m:r>
              <w:rPr>
                <w:rFonts w:ascii="Cambria Math" w:hAnsi="Cambria Math"/>
              </w:rPr>
              <m:t>''</m:t>
            </m:r>
          </m:sup>
        </m:sSup>
        <m:d>
          <m:dPr>
            <m:ctrlPr>
              <w:rPr>
                <w:rFonts w:ascii="Cambria Math" w:hAnsi="Cambria Math"/>
                <w:i/>
                <w:color w:val="000000" w:themeColor="text1"/>
              </w:rPr>
            </m:ctrlPr>
          </m:dPr>
          <m:e>
            <m:r>
              <w:rPr>
                <w:rFonts w:ascii="Cambria Math" w:hAnsi="Cambria Math"/>
              </w:rPr>
              <m:t>x</m:t>
            </m:r>
          </m:e>
        </m:d>
        <m:r>
          <w:rPr>
            <w:rFonts w:ascii="Cambria Math" w:hAnsi="Cambria Math"/>
          </w:rPr>
          <m:t>=0</m:t>
        </m:r>
      </m:oMath>
      <w:r>
        <w:t>, and remove the denominator</w:t>
      </w:r>
    </w:p>
    <w:p w14:paraId="3DF84B9E" w14:textId="77777777" w:rsidR="00B2646F" w:rsidRDefault="00B2646F" w:rsidP="00BE5510">
      <w:pPr>
        <w:pStyle w:val="SAABullet2"/>
      </w:pPr>
      <w:r>
        <w:t>replacing the hyperbolic functions with the equivalent functions containing exponentials</w:t>
      </w:r>
    </w:p>
    <w:p w14:paraId="7979B779" w14:textId="77777777" w:rsidR="00B2646F" w:rsidRDefault="00B2646F" w:rsidP="00BE5510">
      <w:pPr>
        <w:pStyle w:val="SAABullet2"/>
      </w:pPr>
      <w:r>
        <w:t xml:space="preserve">isolating a single exponential term in the resulting equation (most commonly </w:t>
      </w:r>
      <m:oMath>
        <m:sSup>
          <m:sSupPr>
            <m:ctrlPr>
              <w:rPr>
                <w:rFonts w:ascii="Cambria Math" w:hAnsi="Cambria Math"/>
                <w:i/>
                <w:color w:val="000000" w:themeColor="text1"/>
              </w:rPr>
            </m:ctrlPr>
          </m:sSupPr>
          <m:e>
            <m:r>
              <w:rPr>
                <w:rFonts w:ascii="Cambria Math" w:hAnsi="Cambria Math"/>
              </w:rPr>
              <m:t>e</m:t>
            </m:r>
          </m:e>
          <m:sup>
            <m:r>
              <w:rPr>
                <w:rFonts w:ascii="Cambria Math" w:hAnsi="Cambria Math"/>
              </w:rPr>
              <m:t>2x</m:t>
            </m:r>
          </m:sup>
        </m:sSup>
        <m:r>
          <w:rPr>
            <w:rFonts w:ascii="Cambria Math" w:hAnsi="Cambria Math"/>
          </w:rPr>
          <m:t>=</m:t>
        </m:r>
        <m:f>
          <m:fPr>
            <m:ctrlPr>
              <w:rPr>
                <w:rFonts w:ascii="Cambria Math" w:hAnsi="Cambria Math"/>
                <w:i/>
                <w:color w:val="000000" w:themeColor="text1"/>
              </w:rPr>
            </m:ctrlPr>
          </m:fPr>
          <m:num>
            <m:r>
              <w:rPr>
                <w:rFonts w:ascii="Cambria Math" w:hAnsi="Cambria Math"/>
              </w:rPr>
              <m:t>9</m:t>
            </m:r>
          </m:num>
          <m:den>
            <m:r>
              <w:rPr>
                <w:rFonts w:ascii="Cambria Math" w:hAnsi="Cambria Math"/>
              </w:rPr>
              <m:t>4</m:t>
            </m:r>
          </m:den>
        </m:f>
      </m:oMath>
      <w:r>
        <w:t>) through steps such as expansion, grouping like terms, and factorising</w:t>
      </w:r>
    </w:p>
    <w:p w14:paraId="4D809D4F" w14:textId="77777777" w:rsidR="00B2646F" w:rsidRDefault="00B2646F" w:rsidP="00BE5510">
      <w:pPr>
        <w:pStyle w:val="SAABullet2"/>
      </w:pPr>
      <w:r>
        <w:t xml:space="preserve">addressing the </w:t>
      </w:r>
      <m:oMath>
        <m:r>
          <w:rPr>
            <w:rFonts w:ascii="Cambria Math" w:hAnsi="Cambria Math"/>
          </w:rPr>
          <m:t>2x</m:t>
        </m:r>
      </m:oMath>
      <w:r>
        <w:t xml:space="preserve"> (or equivalent) in the index of </w:t>
      </w:r>
      <m:oMath>
        <m:r>
          <w:rPr>
            <w:rFonts w:ascii="Cambria Math" w:hAnsi="Cambria Math"/>
          </w:rPr>
          <m:t>e</m:t>
        </m:r>
      </m:oMath>
      <w:r>
        <w:t xml:space="preserve"> through square rooting both sides or through using log laws to reach the answer in the desired form.</w:t>
      </w:r>
    </w:p>
    <w:p w14:paraId="0EFDEAB8" w14:textId="77777777" w:rsidR="00B2646F" w:rsidRDefault="00B2646F" w:rsidP="00BE5510">
      <w:pPr>
        <w:pStyle w:val="SAAmoreless"/>
      </w:pPr>
      <w:r>
        <w:t>The less successful responses commonly:</w:t>
      </w:r>
    </w:p>
    <w:p w14:paraId="3E225FB3" w14:textId="74A142FA" w:rsidR="00B2646F" w:rsidRDefault="00B2646F" w:rsidP="00BE5510">
      <w:pPr>
        <w:pStyle w:val="SAABullet"/>
      </w:pPr>
      <w:r>
        <w:t xml:space="preserve">differentiated </w:t>
      </w:r>
      <m:oMath>
        <m:r>
          <w:rPr>
            <w:rFonts w:ascii="Cambria Math" w:hAnsi="Cambria Math"/>
          </w:rPr>
          <m:t>y=</m:t>
        </m:r>
        <m:func>
          <m:funcPr>
            <m:ctrlPr>
              <w:rPr>
                <w:rFonts w:ascii="Cambria Math" w:hAnsi="Cambria Math"/>
                <w:i/>
              </w:rPr>
            </m:ctrlPr>
          </m:funcPr>
          <m:fName>
            <m:r>
              <m:rPr>
                <m:sty m:val="p"/>
              </m:rPr>
              <w:rPr>
                <w:rFonts w:ascii="Cambria Math" w:hAnsi="Cambria Math"/>
              </w:rPr>
              <m:t>cosh</m:t>
            </m:r>
          </m:fName>
          <m:e>
            <m:r>
              <w:rPr>
                <w:rFonts w:ascii="Cambria Math" w:hAnsi="Cambria Math"/>
              </w:rPr>
              <m:t>x</m:t>
            </m:r>
          </m:e>
        </m:func>
      </m:oMath>
      <w:r>
        <w:t xml:space="preserve"> </w:t>
      </w:r>
      <w:r w:rsidRPr="00BE326F">
        <w:rPr>
          <w:color w:val="auto"/>
        </w:rPr>
        <w:t xml:space="preserve">as </w:t>
      </w:r>
      <m:oMath>
        <m:f>
          <m:fPr>
            <m:ctrlPr>
              <w:rPr>
                <w:rFonts w:ascii="Cambria Math" w:hAnsi="Cambria Math"/>
                <w:i/>
                <w:color w:val="auto"/>
              </w:rPr>
            </m:ctrlPr>
          </m:fPr>
          <m:num>
            <m:r>
              <m:rPr>
                <m:sty m:val="p"/>
              </m:rPr>
              <w:rPr>
                <w:rFonts w:ascii="Cambria Math" w:hAnsi="Cambria Math"/>
                <w:color w:val="auto"/>
              </w:rPr>
              <m:t>d</m:t>
            </m:r>
            <m:r>
              <w:rPr>
                <w:rFonts w:ascii="Cambria Math" w:hAnsi="Cambria Math"/>
                <w:color w:val="auto"/>
              </w:rPr>
              <m:t>y</m:t>
            </m:r>
          </m:num>
          <m:den>
            <m:r>
              <m:rPr>
                <m:sty m:val="p"/>
              </m:rPr>
              <w:rPr>
                <w:rFonts w:ascii="Cambria Math" w:hAnsi="Cambria Math"/>
                <w:color w:val="auto"/>
              </w:rPr>
              <m:t>d</m:t>
            </m:r>
            <m:r>
              <w:rPr>
                <w:rFonts w:ascii="Cambria Math" w:hAnsi="Cambria Math"/>
                <w:color w:val="auto"/>
              </w:rPr>
              <m:t>x</m:t>
            </m:r>
          </m:den>
        </m:f>
        <m:r>
          <w:rPr>
            <w:rFonts w:ascii="Cambria Math" w:hAnsi="Cambria Math"/>
            <w:color w:val="auto"/>
          </w:rPr>
          <m:t>=</m:t>
        </m:r>
        <m:func>
          <m:funcPr>
            <m:ctrlPr>
              <w:rPr>
                <w:rFonts w:ascii="Cambria Math" w:hAnsi="Cambria Math"/>
                <w:i/>
                <w:color w:val="auto"/>
              </w:rPr>
            </m:ctrlPr>
          </m:funcPr>
          <m:fName>
            <m:r>
              <m:rPr>
                <m:sty m:val="p"/>
              </m:rPr>
              <w:rPr>
                <w:rFonts w:ascii="Cambria Math" w:hAnsi="Cambria Math"/>
                <w:color w:val="auto"/>
              </w:rPr>
              <m:t>-sinh</m:t>
            </m:r>
          </m:fName>
          <m:e>
            <m:r>
              <w:rPr>
                <w:rFonts w:ascii="Cambria Math" w:hAnsi="Cambria Math"/>
                <w:color w:val="auto"/>
              </w:rPr>
              <m:t>x</m:t>
            </m:r>
          </m:e>
        </m:func>
      </m:oMath>
      <w:r>
        <w:t xml:space="preserve"> in part (b) and part (c)(i), treating it as a regular trigonometric function rather than relying on the rules given in Table 2 and Table 4</w:t>
      </w:r>
    </w:p>
    <w:p w14:paraId="47BE1B1C" w14:textId="77777777" w:rsidR="00B2646F" w:rsidRDefault="00B2646F" w:rsidP="00BE5510">
      <w:pPr>
        <w:pStyle w:val="SAABullet"/>
      </w:pPr>
      <w:r>
        <w:t>relied on a written explanation in part (b) rather than an algebraic approach</w:t>
      </w:r>
    </w:p>
    <w:p w14:paraId="6322ED24" w14:textId="6802F5DD" w:rsidR="00B2646F" w:rsidRDefault="00B2646F" w:rsidP="00BE5510">
      <w:pPr>
        <w:pStyle w:val="SAABullet"/>
      </w:pPr>
      <w:r>
        <w:lastRenderedPageBreak/>
        <w:t xml:space="preserve">assumed that </w:t>
      </w:r>
      <m:oMath>
        <m:sSup>
          <m:sSupPr>
            <m:ctrlPr>
              <w:rPr>
                <w:rFonts w:ascii="Cambria Math" w:hAnsi="Cambria Math"/>
                <w:i/>
              </w:rPr>
            </m:ctrlPr>
          </m:sSupPr>
          <m:e>
            <m:d>
              <m:dPr>
                <m:ctrlPr>
                  <w:rPr>
                    <w:rFonts w:ascii="Cambria Math" w:hAnsi="Cambria Math"/>
                    <w:i/>
                  </w:rPr>
                </m:ctrlPr>
              </m:dPr>
              <m:e>
                <m:func>
                  <m:funcPr>
                    <m:ctrlPr>
                      <w:rPr>
                        <w:rFonts w:ascii="Cambria Math" w:hAnsi="Cambria Math"/>
                        <w:i/>
                      </w:rPr>
                    </m:ctrlPr>
                  </m:funcPr>
                  <m:fName>
                    <m:r>
                      <m:rPr>
                        <m:sty m:val="p"/>
                      </m:rPr>
                      <w:rPr>
                        <w:rFonts w:ascii="Cambria Math" w:hAnsi="Cambria Math"/>
                      </w:rPr>
                      <m:t>cosh</m:t>
                    </m:r>
                  </m:fName>
                  <m:e>
                    <m:r>
                      <w:rPr>
                        <w:rFonts w:ascii="Cambria Math" w:hAnsi="Cambria Math"/>
                      </w:rPr>
                      <m:t>x</m:t>
                    </m:r>
                  </m:e>
                </m:func>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func>
                  <m:funcPr>
                    <m:ctrlPr>
                      <w:rPr>
                        <w:rFonts w:ascii="Cambria Math" w:hAnsi="Cambria Math"/>
                        <w:i/>
                      </w:rPr>
                    </m:ctrlPr>
                  </m:funcPr>
                  <m:fName>
                    <m:r>
                      <m:rPr>
                        <m:sty m:val="p"/>
                      </m:rPr>
                      <w:rPr>
                        <w:rFonts w:ascii="Cambria Math" w:hAnsi="Cambria Math"/>
                      </w:rPr>
                      <m:t>sinh</m:t>
                    </m:r>
                  </m:fName>
                  <m:e>
                    <m:r>
                      <w:rPr>
                        <w:rFonts w:ascii="Cambria Math" w:hAnsi="Cambria Math"/>
                      </w:rPr>
                      <m:t>x</m:t>
                    </m:r>
                  </m:e>
                </m:func>
              </m:e>
            </m:d>
          </m:e>
          <m:sup>
            <m:r>
              <w:rPr>
                <w:rFonts w:ascii="Cambria Math" w:hAnsi="Cambria Math"/>
              </w:rPr>
              <m:t>2</m:t>
            </m:r>
          </m:sup>
        </m:sSup>
        <m:r>
          <w:rPr>
            <w:rFonts w:ascii="Cambria Math" w:hAnsi="Cambria Math"/>
          </w:rPr>
          <m:t>=1</m:t>
        </m:r>
      </m:oMath>
      <w:r>
        <w:t xml:space="preserve"> in part (b), rather than show it algebraically</w:t>
      </w:r>
      <w:r w:rsidR="00E366DD">
        <w:t xml:space="preserve">. </w:t>
      </w:r>
      <w:r>
        <w:t>This rule was not given or known; hence the burden of proof was for students to show this by replacing the hyperbolic functions with their exponential equivalents and perform the necessary algebra</w:t>
      </w:r>
    </w:p>
    <w:p w14:paraId="4DF07477" w14:textId="75124C67" w:rsidR="00B2646F" w:rsidRDefault="00B2646F" w:rsidP="00B2646F">
      <w:pPr>
        <w:pStyle w:val="SAABullets"/>
        <w:numPr>
          <w:ilvl w:val="0"/>
          <w:numId w:val="0"/>
        </w:numPr>
        <w:ind w:left="357"/>
        <w:rPr>
          <w:rFonts w:eastAsiaTheme="minorEastAsia"/>
        </w:rPr>
      </w:pPr>
      <w:r>
        <w:rPr>
          <w:rFonts w:eastAsiaTheme="minorEastAsia"/>
        </w:rPr>
        <w:t>It</w:t>
      </w:r>
      <w:r w:rsidR="00BE5510">
        <w:rPr>
          <w:rFonts w:eastAsiaTheme="minorEastAsia"/>
        </w:rPr>
        <w:t xml:space="preserve"> i</w:t>
      </w:r>
      <w:r>
        <w:rPr>
          <w:rFonts w:eastAsiaTheme="minorEastAsia"/>
        </w:rPr>
        <w:t xml:space="preserve">s worth noting that if a student replaced </w:t>
      </w:r>
      <m:oMath>
        <m:r>
          <w:rPr>
            <w:rFonts w:ascii="Cambria Math" w:eastAsiaTheme="minorEastAsia" w:hAnsi="Cambria Math"/>
          </w:rPr>
          <m:t>y=</m:t>
        </m:r>
        <m:func>
          <m:funcPr>
            <m:ctrlPr>
              <w:rPr>
                <w:rFonts w:ascii="Cambria Math" w:eastAsiaTheme="minorEastAsia" w:hAnsi="Cambria Math"/>
                <w:i/>
              </w:rPr>
            </m:ctrlPr>
          </m:funcPr>
          <m:fName>
            <m:r>
              <m:rPr>
                <m:sty m:val="p"/>
              </m:rPr>
              <w:rPr>
                <w:rFonts w:ascii="Cambria Math" w:eastAsiaTheme="minorEastAsia" w:hAnsi="Cambria Math"/>
              </w:rPr>
              <m:t>tanh</m:t>
            </m:r>
          </m:fName>
          <m:e>
            <m:r>
              <w:rPr>
                <w:rFonts w:ascii="Cambria Math" w:eastAsiaTheme="minorEastAsia" w:hAnsi="Cambria Math"/>
              </w:rPr>
              <m:t>x</m:t>
            </m:r>
          </m:e>
        </m:func>
      </m:oMath>
      <w:r>
        <w:rPr>
          <w:rFonts w:eastAsiaTheme="minorEastAsia"/>
        </w:rPr>
        <w:t xml:space="preserve"> with the exponential equivalent at the beginning of this question, a similar complex step was required to achieve the given result</w:t>
      </w:r>
      <w:r w:rsidR="00E366DD">
        <w:rPr>
          <w:rFonts w:eastAsiaTheme="minorEastAsia"/>
        </w:rPr>
        <w:t xml:space="preserve">. </w:t>
      </w:r>
      <w:r>
        <w:rPr>
          <w:rFonts w:eastAsiaTheme="minorEastAsia"/>
        </w:rPr>
        <w:t xml:space="preserve">When a student reached the line </w:t>
      </w:r>
      <m:oMath>
        <m:f>
          <m:fPr>
            <m:ctrlPr>
              <w:rPr>
                <w:rFonts w:ascii="Cambria Math" w:eastAsiaTheme="minorEastAsia" w:hAnsi="Cambria Math"/>
                <w:i/>
              </w:rPr>
            </m:ctrlPr>
          </m:fPr>
          <m:num>
            <m:r>
              <w:rPr>
                <w:rFonts w:ascii="Cambria Math" w:eastAsiaTheme="minorEastAsia" w:hAnsi="Cambria Math"/>
              </w:rPr>
              <m:t>4</m:t>
            </m:r>
          </m:num>
          <m:den>
            <m:sSup>
              <m:sSupPr>
                <m:ctrlPr>
                  <w:rPr>
                    <w:rFonts w:ascii="Cambria Math" w:eastAsiaTheme="minorEastAsia" w:hAnsi="Cambria Math"/>
                    <w:i/>
                  </w:rPr>
                </m:ctrlPr>
              </m:sSupPr>
              <m:e>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x</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-x</m:t>
                        </m:r>
                      </m:sup>
                    </m:sSup>
                  </m:e>
                </m:d>
              </m:e>
              <m:sup>
                <m:r>
                  <w:rPr>
                    <w:rFonts w:ascii="Cambria Math" w:eastAsiaTheme="minorEastAsia" w:hAnsi="Cambria Math"/>
                  </w:rPr>
                  <m:t>2</m:t>
                </m:r>
              </m:sup>
            </m:sSup>
          </m:den>
        </m:f>
      </m:oMath>
      <w:r>
        <w:rPr>
          <w:rFonts w:eastAsiaTheme="minorEastAsia"/>
        </w:rPr>
        <w:t xml:space="preserve"> at least one line was required to show the given answer, for example </w:t>
      </w:r>
      <m:oMath>
        <m:f>
          <m:fPr>
            <m:ctrlPr>
              <w:rPr>
                <w:rFonts w:ascii="Cambria Math" w:eastAsiaTheme="minorEastAsia" w:hAnsi="Cambria Math"/>
                <w:i/>
              </w:rPr>
            </m:ctrlPr>
          </m:fPr>
          <m:num>
            <m:r>
              <w:rPr>
                <w:rFonts w:ascii="Cambria Math" w:eastAsiaTheme="minorEastAsia" w:hAnsi="Cambria Math"/>
              </w:rPr>
              <m:t>1</m:t>
            </m:r>
          </m:num>
          <m:den>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x</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-x</m:t>
                            </m:r>
                          </m:sup>
                        </m:sSup>
                      </m:num>
                      <m:den>
                        <m:r>
                          <w:rPr>
                            <w:rFonts w:ascii="Cambria Math" w:eastAsiaTheme="minorEastAsia" w:hAnsi="Cambria Math"/>
                          </w:rPr>
                          <m:t>2</m:t>
                        </m:r>
                      </m:den>
                    </m:f>
                  </m:e>
                </m:d>
              </m:e>
              <m:sup>
                <m:r>
                  <w:rPr>
                    <w:rFonts w:ascii="Cambria Math" w:eastAsiaTheme="minorEastAsia" w:hAnsi="Cambria Math"/>
                  </w:rPr>
                  <m:t>2</m:t>
                </m:r>
              </m:sup>
            </m:sSup>
          </m:den>
        </m:f>
      </m:oMath>
    </w:p>
    <w:p w14:paraId="1CB0D2C6" w14:textId="20D37F00" w:rsidR="00B2646F" w:rsidRDefault="00B2646F" w:rsidP="00BE5510">
      <w:pPr>
        <w:pStyle w:val="SAABullet"/>
      </w:pPr>
      <w:r>
        <w:t>chose algebraic methods that increased the complexity required to reach the desired result in part (c)(</w:t>
      </w:r>
      <w:proofErr w:type="spellStart"/>
      <w:r>
        <w:t>i</w:t>
      </w:r>
      <w:proofErr w:type="spellEnd"/>
      <w:r>
        <w:t>)</w:t>
      </w:r>
      <w:r w:rsidR="00E366DD">
        <w:t xml:space="preserve">. </w:t>
      </w:r>
      <w:r>
        <w:t xml:space="preserve">For example, after finding </w:t>
      </w:r>
      <m:oMath>
        <m:r>
          <w:rPr>
            <w:rFonts w:ascii="Cambria Math" w:hAnsi="Cambria Math"/>
          </w:rPr>
          <m:t>f'(x)</m:t>
        </m:r>
      </m:oMath>
      <w:r>
        <w:rPr>
          <w:rFonts w:eastAsiaTheme="minorEastAsia"/>
        </w:rPr>
        <w:t xml:space="preserve"> some students placed the functions on a common denominator before finding </w:t>
      </w:r>
      <m:oMath>
        <m:r>
          <w:rPr>
            <w:rFonts w:ascii="Cambria Math" w:eastAsiaTheme="minorEastAsia" w:hAnsi="Cambria Math"/>
          </w:rPr>
          <m:t>f''(x)</m:t>
        </m:r>
      </m:oMath>
      <w:r w:rsidR="00E366DD">
        <w:rPr>
          <w:rFonts w:eastAsiaTheme="minorEastAsia"/>
        </w:rPr>
        <w:t xml:space="preserve">. </w:t>
      </w:r>
      <w:r>
        <w:rPr>
          <w:rFonts w:eastAsiaTheme="minorEastAsia"/>
        </w:rPr>
        <w:t xml:space="preserve">This hence required the use of the quotient rule when finding </w:t>
      </w:r>
      <m:oMath>
        <m:r>
          <w:rPr>
            <w:rFonts w:ascii="Cambria Math" w:eastAsiaTheme="minorEastAsia" w:hAnsi="Cambria Math"/>
          </w:rPr>
          <m:t>f''(x)</m:t>
        </m:r>
      </m:oMath>
      <w:r>
        <w:rPr>
          <w:rFonts w:eastAsiaTheme="minorEastAsia"/>
        </w:rPr>
        <w:t xml:space="preserve"> </w:t>
      </w:r>
    </w:p>
    <w:p w14:paraId="62AD4F37" w14:textId="76BBD160" w:rsidR="008702F4" w:rsidRDefault="00B2646F" w:rsidP="00A52F68">
      <w:pPr>
        <w:pStyle w:val="SAABullet"/>
      </w:pPr>
      <w:r>
        <w:t>did not replace the hyperbolic functions with the equivalent functions containing exponentials in part (c)(ii)</w:t>
      </w:r>
      <w:r w:rsidR="00E366DD">
        <w:t xml:space="preserve">. </w:t>
      </w:r>
      <w:r>
        <w:t xml:space="preserve">Although this made the final few marks of this question inaccessible to some students, the graph in part (a) </w:t>
      </w:r>
      <w:r w:rsidR="00A26E47" w:rsidRPr="00A26E47">
        <w:t>provided an opportunity to identify this as a viable approach</w:t>
      </w:r>
    </w:p>
    <w:p w14:paraId="03D2E873" w14:textId="0D572183" w:rsidR="00B2646F" w:rsidRDefault="00B2646F" w:rsidP="00A52F68">
      <w:pPr>
        <w:pStyle w:val="SAABullet"/>
      </w:pPr>
      <w:r>
        <w:t>implemented incorrect log laws in part (c)(ii) or made algebraic mistakes due to the questions complexity.</w:t>
      </w:r>
    </w:p>
    <w:sectPr w:rsidR="00B2646F" w:rsidSect="00B562CF">
      <w:headerReference w:type="default" r:id="rId14"/>
      <w:footerReference w:type="default" r:id="rId15"/>
      <w:pgSz w:w="11906" w:h="16838" w:code="9"/>
      <w:pgMar w:top="992" w:right="1134" w:bottom="1134" w:left="1134" w:header="851" w:footer="53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E7131" w14:textId="77777777" w:rsidR="00CA7890" w:rsidRPr="000D4EDE" w:rsidRDefault="00CA7890" w:rsidP="000D4EDE">
      <w:r>
        <w:separator/>
      </w:r>
    </w:p>
  </w:endnote>
  <w:endnote w:type="continuationSeparator" w:id="0">
    <w:p w14:paraId="40C59D8B" w14:textId="77777777" w:rsidR="00CA7890" w:rsidRPr="000D4EDE" w:rsidRDefault="00CA7890" w:rsidP="000D4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 Veolia W2 ExtraLight">
    <w:altName w:val="Calibri"/>
    <w:panose1 w:val="00000000000000000000"/>
    <w:charset w:val="00"/>
    <w:family w:val="swiss"/>
    <w:notTrueType/>
    <w:pitch w:val="variable"/>
    <w:sig w:usb0="A00002BF" w:usb1="5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Roboto Light">
    <w:altName w:val="Arial"/>
    <w:panose1 w:val="02000000000000000000"/>
    <w:charset w:val="00"/>
    <w:family w:val="auto"/>
    <w:pitch w:val="variable"/>
    <w:sig w:usb0="E00002FF" w:usb1="5000205B" w:usb2="00000020" w:usb3="00000000" w:csb0="0000019F" w:csb1="00000000"/>
    <w:embedRegular r:id="rId1" w:fontKey="{F0844F46-C28B-4D96-82E8-EE6991C1AB66}"/>
    <w:embedBold r:id="rId2" w:fontKey="{303B34B0-6E86-49FA-8824-02163F2C3428}"/>
    <w:embedItalic r:id="rId3" w:fontKey="{FA33B385-AFE7-4789-AED5-0BC21CFBE6F3}"/>
    <w:embedBoldItalic r:id="rId4" w:fontKey="{17652D8D-19F1-4084-BAFF-19B0177AC16C}"/>
  </w:font>
  <w:font w:name="Angsana New">
    <w:panose1 w:val="02020603050405020304"/>
    <w:charset w:val="DE"/>
    <w:family w:val="roman"/>
    <w:pitch w:val="variable"/>
    <w:sig w:usb0="81000003" w:usb1="00000000" w:usb2="00000000" w:usb3="00000000" w:csb0="00010001" w:csb1="00000000"/>
    <w:embedRegular r:id="rId5" w:fontKey="{DECEC274-4FA6-41C0-9C98-24BDB61BDE6B}"/>
    <w:embedBold r:id="rId6" w:fontKey="{D56E726B-6527-4F4A-8479-8BDE0BFAFAD1}"/>
    <w:embedItalic r:id="rId7" w:fontKey="{24E07DB2-7643-41E4-BAE3-24DC906E40FF}"/>
    <w:embedBoldItalic r:id="rId8" w:fontKey="{DBF1DB9B-54A0-450B-90F2-2F241F69C583}"/>
  </w:font>
  <w:font w:name="Roboto">
    <w:panose1 w:val="02000000000000000000"/>
    <w:charset w:val="00"/>
    <w:family w:val="auto"/>
    <w:pitch w:val="variable"/>
    <w:sig w:usb0="E00002FF" w:usb1="5000205B" w:usb2="00000020" w:usb3="00000000" w:csb0="0000019F" w:csb1="00000000"/>
    <w:embedRegular r:id="rId9" w:fontKey="{4F5BA371-9C98-4620-989D-4EC44181F3EC}"/>
  </w:font>
  <w:font w:name="Calibri">
    <w:panose1 w:val="020F0502020204030204"/>
    <w:charset w:val="00"/>
    <w:family w:val="swiss"/>
    <w:pitch w:val="variable"/>
    <w:sig w:usb0="E4002EFF" w:usb1="C200247B" w:usb2="00000009" w:usb3="00000000" w:csb0="000001FF" w:csb1="00000000"/>
    <w:embedRegular r:id="rId10" w:fontKey="{1E820738-A619-40FE-8D91-DC001992FAFA}"/>
  </w:font>
  <w:font w:name="MS Gothic">
    <w:altName w:val="ＭＳ ゴシック"/>
    <w:panose1 w:val="020B0609070205080204"/>
    <w:charset w:val="80"/>
    <w:family w:val="modern"/>
    <w:pitch w:val="fixed"/>
    <w:sig w:usb0="E00002FF" w:usb1="6AC7FDFB" w:usb2="08000012" w:usb3="00000000" w:csb0="0002009F" w:csb1="00000000"/>
  </w:font>
  <w:font w:name="Roboto Medium">
    <w:panose1 w:val="02000000000000000000"/>
    <w:charset w:val="00"/>
    <w:family w:val="auto"/>
    <w:pitch w:val="variable"/>
    <w:sig w:usb0="E00002FF" w:usb1="5000205B" w:usb2="00000020" w:usb3="00000000" w:csb0="0000019F" w:csb1="00000000"/>
    <w:embedRegular r:id="rId11" w:fontKey="{DCF0CBFB-0F59-445E-823B-32A84D14251E}"/>
  </w:font>
  <w:font w:name="Tahoma">
    <w:panose1 w:val="020B0604030504040204"/>
    <w:charset w:val="00"/>
    <w:family w:val="swiss"/>
    <w:pitch w:val="variable"/>
    <w:sig w:usb0="E1002EFF" w:usb1="C000605B" w:usb2="00000029" w:usb3="00000000" w:csb0="000101FF" w:csb1="00000000"/>
    <w:embedRegular r:id="rId12" w:fontKey="{1619F65F-588E-47A4-9BCA-02725F9BA26D}"/>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embedRegular r:id="rId13" w:fontKey="{186BDE0A-D17C-40F8-B5E1-82C1B6829C1A}"/>
  </w:font>
  <w:font w:name="Cambria Math">
    <w:panose1 w:val="02040503050406030204"/>
    <w:charset w:val="00"/>
    <w:family w:val="roman"/>
    <w:pitch w:val="variable"/>
    <w:sig w:usb0="E00006FF" w:usb1="420024FF" w:usb2="02000000" w:usb3="00000000" w:csb0="0000019F" w:csb1="00000000"/>
    <w:embedRegular r:id="rId14" w:fontKey="{420DF4C4-FDF3-4243-8C3D-231A0832D392}"/>
    <w:embedItalic r:id="rId15" w:fontKey="{8D1B6E0B-AADB-476F-89B0-9C96558E9E8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AD060A" w14:textId="63E7E70C" w:rsidR="005A77A8" w:rsidRPr="005A77A8" w:rsidRDefault="005A77A8" w:rsidP="005A77A8">
    <w:pPr>
      <w:pStyle w:val="FootnoteText"/>
      <w:tabs>
        <w:tab w:val="right" w:pos="9070"/>
      </w:tabs>
    </w:pPr>
    <w:r w:rsidRPr="005A77A8">
      <w:t xml:space="preserve">Stage 2 </w:t>
    </w:r>
    <w:r w:rsidR="00354563">
      <w:t>Mathematical Methods</w:t>
    </w:r>
    <w:r w:rsidRPr="005A77A8">
      <w:t xml:space="preserve"> – 202</w:t>
    </w:r>
    <w:r w:rsidR="00CC0708">
      <w:t>5</w:t>
    </w:r>
    <w:r w:rsidRPr="005A77A8">
      <w:t xml:space="preserve"> Subject Assessment Advice</w:t>
    </w:r>
    <w:r w:rsidRPr="005A77A8">
      <w:tab/>
      <w:t xml:space="preserve">Page </w:t>
    </w:r>
    <w:r w:rsidRPr="005A77A8">
      <w:rPr>
        <w:sz w:val="24"/>
        <w:szCs w:val="24"/>
      </w:rPr>
      <w:fldChar w:fldCharType="begin"/>
    </w:r>
    <w:r w:rsidRPr="005A77A8">
      <w:instrText xml:space="preserve"> PAGE </w:instrText>
    </w:r>
    <w:r w:rsidRPr="005A77A8">
      <w:rPr>
        <w:sz w:val="24"/>
        <w:szCs w:val="24"/>
      </w:rPr>
      <w:fldChar w:fldCharType="separate"/>
    </w:r>
    <w:r w:rsidRPr="005A77A8">
      <w:rPr>
        <w:sz w:val="24"/>
        <w:szCs w:val="24"/>
      </w:rPr>
      <w:t>1</w:t>
    </w:r>
    <w:r w:rsidRPr="005A77A8">
      <w:rPr>
        <w:sz w:val="24"/>
        <w:szCs w:val="24"/>
      </w:rPr>
      <w:fldChar w:fldCharType="end"/>
    </w:r>
    <w:r w:rsidRPr="005A77A8">
      <w:t xml:space="preserve"> of </w:t>
    </w:r>
    <w:r>
      <w:fldChar w:fldCharType="begin"/>
    </w:r>
    <w:r>
      <w:instrText xml:space="preserve"> NUMPAGES  </w:instrText>
    </w:r>
    <w:r>
      <w:fldChar w:fldCharType="separate"/>
    </w:r>
    <w:r w:rsidRPr="005A77A8">
      <w:rPr>
        <w:sz w:val="24"/>
        <w:szCs w:val="24"/>
      </w:rPr>
      <w:t>3</w:t>
    </w:r>
    <w:r>
      <w:rPr>
        <w:sz w:val="24"/>
        <w:szCs w:val="24"/>
      </w:rPr>
      <w:fldChar w:fldCharType="end"/>
    </w:r>
  </w:p>
  <w:p w14:paraId="63CD73FD" w14:textId="22056A6A" w:rsidR="005A77A8" w:rsidRPr="005A77A8" w:rsidRDefault="005A77A8" w:rsidP="005A77A8">
    <w:pPr>
      <w:pStyle w:val="FootnoteText"/>
    </w:pPr>
    <w:r w:rsidRPr="00354563">
      <w:t>Ref</w:t>
    </w:r>
    <w:r w:rsidR="00CC0708" w:rsidRPr="00354563">
      <w:t>: A</w:t>
    </w:r>
    <w:r w:rsidR="00354563" w:rsidRPr="00354563">
      <w:t>1695753</w:t>
    </w:r>
    <w:r w:rsidRPr="00354563">
      <w:t xml:space="preserve"> ©</w:t>
    </w:r>
    <w:r w:rsidRPr="005A77A8">
      <w:t xml:space="preserve"> SACE Board of South Australia 202</w:t>
    </w:r>
    <w:r w:rsidR="00CC0708">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1A5C5D" w14:textId="77777777" w:rsidR="00CA7890" w:rsidRPr="000D4EDE" w:rsidRDefault="00CA7890" w:rsidP="000D4EDE">
      <w:r>
        <w:separator/>
      </w:r>
    </w:p>
  </w:footnote>
  <w:footnote w:type="continuationSeparator" w:id="0">
    <w:p w14:paraId="46A0CFD4" w14:textId="77777777" w:rsidR="00CA7890" w:rsidRPr="000D4EDE" w:rsidRDefault="00CA7890" w:rsidP="000D4E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8293DE" w14:textId="20EB74E2" w:rsidR="00B30663" w:rsidRDefault="00B30663">
    <w:pPr>
      <w:pStyle w:val="Header"/>
    </w:pPr>
    <w:r>
      <w:rPr>
        <w:noProof/>
      </w:rPr>
      <mc:AlternateContent>
        <mc:Choice Requires="wps">
          <w:drawing>
            <wp:anchor distT="0" distB="0" distL="114300" distR="114300" simplePos="0" relativeHeight="251659264" behindDoc="0" locked="0" layoutInCell="0" allowOverlap="1" wp14:anchorId="03EFBE46" wp14:editId="155171C2">
              <wp:simplePos x="0" y="0"/>
              <wp:positionH relativeFrom="page">
                <wp:posOffset>0</wp:posOffset>
              </wp:positionH>
              <wp:positionV relativeFrom="page">
                <wp:posOffset>190500</wp:posOffset>
              </wp:positionV>
              <wp:extent cx="7560310" cy="252095"/>
              <wp:effectExtent l="0" t="0" r="0" b="14605"/>
              <wp:wrapNone/>
              <wp:docPr id="1" name="MSIPCM8edf4a2ea1689e35e9786cd3" descr="{&quot;HashCode&quot;:117806203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77AF55" w14:textId="2D8EA68C" w:rsidR="00B30663" w:rsidRPr="00B30663" w:rsidRDefault="00B30663" w:rsidP="00B30663">
                          <w:pPr>
                            <w:spacing w:after="0"/>
                            <w:jc w:val="center"/>
                            <w:rPr>
                              <w:rFonts w:ascii="Arial" w:hAnsi="Arial" w:cs="Arial"/>
                              <w:color w:val="A80000"/>
                              <w:sz w:val="24"/>
                            </w:rPr>
                          </w:pPr>
                          <w:r w:rsidRPr="00B30663">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3EFBE46" id="_x0000_t202" coordsize="21600,21600" o:spt="202" path="m,l,21600r21600,l21600,xe">
              <v:stroke joinstyle="miter"/>
              <v:path gradientshapeok="t" o:connecttype="rect"/>
            </v:shapetype>
            <v:shape id="MSIPCM8edf4a2ea1689e35e9786cd3" o:spid="_x0000_s1026" type="#_x0000_t202" alt="{&quot;HashCode&quot;:1178062039,&quot;Height&quot;:841.0,&quot;Width&quot;:595.0,&quot;Placement&quot;:&quot;Header&quot;,&quot;Index&quot;:&quot;Primary&quot;,&quot;Section&quot;:1,&quot;Top&quot;:0.0,&quot;Left&quot;:0.0}" style="position:absolute;margin-left:0;margin-top:15pt;width:595.3pt;height:19.8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ttEwIAACQEAAAOAAAAZHJzL2Uyb0RvYy54bWysU99v2jAQfp/U/8Hy+0igha0RoaKtmCah&#10;thKd+mwcm0SyfZ5tSNhfv7MToOr2NO3FOd9d7sf3fZ7fdVqRg3C+AVPS8SinRBgOVWN2Jf3xuvr8&#10;lRIfmKmYAiNKehSe3i2uPs1bW4gJ1KAq4QgWMb5obUnrEGyRZZ7XQjM/AisMBiU4zQJe3S6rHGux&#10;ulbZJM9nWQuusg648B69j32QLlJ9KQUPz1J6EYgqKc4W0unSuY1ntpizYueYrRs+jMH+YQrNGoNN&#10;z6UeWWBk75o/SumGO/Agw4iDzkDKhou0A24zzj9ss6mZFWkXBMfbM0z+/5XlT4eNfXEkdPfQIYER&#10;kNb6wqMz7tNJp+MXJyUYRwiPZ9hEFwhH55fpLL8eY4hjbDKd5LfTWCa7/G2dD98EaBKNkjqkJaHF&#10;Dmsf+tRTSmxmYNUolahRhrQlnV1P8/TDOYLFlcEel1mjFbptNyywheqIeznoKfeWrxpsvmY+vDCH&#10;HOO8qNvwjIdUgE1gsCipwf36mz/mI/QYpaRFzZTU/9wzJyhR3w2Scju+uYkiSxc03Hvv9uQ1e/0A&#10;KMcxvgzLkxlzgzqZ0oF+Q1kvYzcMMcOxZ0nDyXwIvYLxWXCxXKYklJNlYW02lsfSEcYI6Wv3xpwd&#10;cA/I2BOcVMWKD/D3uT0By30A2SRuIrA9mgPeKMXE7vBsotbf31PW5XEvfgMAAP//AwBQSwMEFAAG&#10;AAgAAAAhAKCK+GTcAAAABwEAAA8AAABkcnMvZG93bnJldi54bWxMj8FKw0AQhu+C77BMwZvdVCEx&#10;MZsiSi+CYNpevG2zYxK6Oxuy2yS+vdOTnobh//nmm3K7OCsmHEPvScFmnYBAarzpqVVwPOzun0CE&#10;qMlo6wkV/GCAbXV7U+rC+JlqnPaxFQyhUGgFXYxDIWVoOnQ6rP2AxNm3H52OvI6tNKOeGe6sfEiS&#10;VDrdE1/o9ICvHTbn/cUxJX97X+JH9umDrXfz5L6OWT0odbdaXp5BRFziXxmu+qwOFTud/IVMEFYB&#10;PxIVPCY8r+kmT1IQJwVpnoGsSvnfv/oFAAD//wMAUEsBAi0AFAAGAAgAAAAhALaDOJL+AAAA4QEA&#10;ABMAAAAAAAAAAAAAAAAAAAAAAFtDb250ZW50X1R5cGVzXS54bWxQSwECLQAUAAYACAAAACEAOP0h&#10;/9YAAACUAQAACwAAAAAAAAAAAAAAAAAvAQAAX3JlbHMvLnJlbHNQSwECLQAUAAYACAAAACEAfieb&#10;bRMCAAAkBAAADgAAAAAAAAAAAAAAAAAuAgAAZHJzL2Uyb0RvYy54bWxQSwECLQAUAAYACAAAACEA&#10;oIr4ZNwAAAAHAQAADwAAAAAAAAAAAAAAAABtBAAAZHJzL2Rvd25yZXYueG1sUEsFBgAAAAAEAAQA&#10;8wAAAHYFAAAAAA==&#10;" o:allowincell="f" filled="f" stroked="f" strokeweight=".5pt">
              <v:textbox inset=",0,,0">
                <w:txbxContent>
                  <w:p w14:paraId="2677AF55" w14:textId="2D8EA68C" w:rsidR="00B30663" w:rsidRPr="00B30663" w:rsidRDefault="00B30663" w:rsidP="00B30663">
                    <w:pPr>
                      <w:spacing w:after="0"/>
                      <w:jc w:val="center"/>
                      <w:rPr>
                        <w:rFonts w:ascii="Arial" w:hAnsi="Arial" w:cs="Arial"/>
                        <w:color w:val="A80000"/>
                        <w:sz w:val="24"/>
                      </w:rPr>
                    </w:pPr>
                    <w:r w:rsidRPr="00B30663">
                      <w:rPr>
                        <w:rFonts w:ascii="Arial" w:hAnsi="Arial" w:cs="Arial"/>
                        <w:color w:val="A8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279CD01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54C6FA4"/>
    <w:lvl w:ilvl="0">
      <w:start w:val="1"/>
      <w:numFmt w:val="decimal"/>
      <w:lvlText w:val="%1)"/>
      <w:lvlJc w:val="left"/>
      <w:pPr>
        <w:ind w:left="1209" w:hanging="360"/>
      </w:pPr>
    </w:lvl>
  </w:abstractNum>
  <w:abstractNum w:abstractNumId="2" w15:restartNumberingAfterBreak="0">
    <w:nsid w:val="FFFFFF7E"/>
    <w:multiLevelType w:val="singleLevel"/>
    <w:tmpl w:val="E8D6DD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C1654D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C80639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EE39B6"/>
    <w:lvl w:ilvl="0">
      <w:start w:val="1"/>
      <w:numFmt w:val="bullet"/>
      <w:lvlText w:val=""/>
      <w:lvlJc w:val="left"/>
      <w:pPr>
        <w:ind w:left="1209" w:hanging="360"/>
      </w:pPr>
      <w:rPr>
        <w:rFonts w:ascii="Wingdings" w:hAnsi="Wingdings" w:hint="default"/>
      </w:rPr>
    </w:lvl>
  </w:abstractNum>
  <w:abstractNum w:abstractNumId="6" w15:restartNumberingAfterBreak="0">
    <w:nsid w:val="FFFFFF82"/>
    <w:multiLevelType w:val="singleLevel"/>
    <w:tmpl w:val="9B9634E0"/>
    <w:lvl w:ilvl="0">
      <w:start w:val="1"/>
      <w:numFmt w:val="bullet"/>
      <w:lvlText w:val="–"/>
      <w:lvlJc w:val="left"/>
      <w:pPr>
        <w:ind w:left="926" w:hanging="360"/>
      </w:pPr>
      <w:rPr>
        <w:rFonts w:ascii="TheSans Veolia W2 ExtraLight" w:hAnsi="TheSans Veolia W2 ExtraLight" w:hint="default"/>
      </w:rPr>
    </w:lvl>
  </w:abstractNum>
  <w:abstractNum w:abstractNumId="7" w15:restartNumberingAfterBreak="0">
    <w:nsid w:val="FFFFFF83"/>
    <w:multiLevelType w:val="singleLevel"/>
    <w:tmpl w:val="4CC48C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44005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8CA0C4E"/>
    <w:lvl w:ilvl="0">
      <w:start w:val="1"/>
      <w:numFmt w:val="bullet"/>
      <w:pStyle w:val="ListBullet"/>
      <w:lvlText w:val=""/>
      <w:lvlJc w:val="left"/>
      <w:pPr>
        <w:ind w:left="360" w:hanging="360"/>
      </w:pPr>
      <w:rPr>
        <w:rFonts w:ascii="Symbol" w:hAnsi="Symbol" w:hint="default"/>
        <w:color w:val="000000" w:themeColor="text1"/>
      </w:rPr>
    </w:lvl>
  </w:abstractNum>
  <w:abstractNum w:abstractNumId="10" w15:restartNumberingAfterBreak="0">
    <w:nsid w:val="013326F0"/>
    <w:multiLevelType w:val="multilevel"/>
    <w:tmpl w:val="3452A392"/>
    <w:lvl w:ilvl="0">
      <w:start w:val="1"/>
      <w:numFmt w:val="none"/>
      <w:suff w:val="nothing"/>
      <w:lvlText w:val=""/>
      <w:lvlJc w:val="left"/>
      <w:pPr>
        <w:ind w:left="0" w:firstLine="0"/>
      </w:pPr>
      <w:rPr>
        <w:rFonts w:hint="default"/>
      </w:rPr>
    </w:lvl>
    <w:lvl w:ilvl="1">
      <w:start w:val="1"/>
      <w:numFmt w:val="decimal"/>
      <w:lvlRestart w:val="0"/>
      <w:pStyle w:val="Heading2"/>
      <w:suff w:val="space"/>
      <w:lvlText w:val="%2%1."/>
      <w:lvlJc w:val="left"/>
      <w:pPr>
        <w:ind w:left="0" w:firstLine="0"/>
      </w:pPr>
      <w:rPr>
        <w:rFonts w:hint="default"/>
      </w:rPr>
    </w:lvl>
    <w:lvl w:ilvl="2">
      <w:start w:val="1"/>
      <w:numFmt w:val="decimal"/>
      <w:pStyle w:val="Heading3"/>
      <w:suff w:val="space"/>
      <w:lvlText w:val="%2.%3%1."/>
      <w:lvlJc w:val="left"/>
      <w:pPr>
        <w:ind w:left="0" w:firstLine="0"/>
      </w:pPr>
      <w:rPr>
        <w:rFonts w:hint="default"/>
        <w:b/>
        <w:i w:val="0"/>
      </w:rPr>
    </w:lvl>
    <w:lvl w:ilvl="3">
      <w:start w:val="1"/>
      <w:numFmt w:val="decimal"/>
      <w:pStyle w:val="Heading4"/>
      <w:suff w:val="space"/>
      <w:lvlText w:val="%1%2.%3.%4."/>
      <w:lvlJc w:val="left"/>
      <w:pPr>
        <w:ind w:left="0" w:firstLine="0"/>
      </w:pPr>
      <w:rPr>
        <w:rFonts w:hint="default"/>
      </w:rPr>
    </w:lvl>
    <w:lvl w:ilvl="4">
      <w:start w:val="1"/>
      <w:numFmt w:val="decimal"/>
      <w:pStyle w:val="Heading5"/>
      <w:suff w:val="space"/>
      <w:lvlText w:val="%2.%3.%4.%5."/>
      <w:lvlJc w:val="left"/>
      <w:pPr>
        <w:ind w:left="357"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11" w15:restartNumberingAfterBreak="0">
    <w:nsid w:val="06983867"/>
    <w:multiLevelType w:val="multilevel"/>
    <w:tmpl w:val="6034109E"/>
    <w:styleLink w:val="AppendixList"/>
    <w:lvl w:ilvl="0">
      <w:start w:val="1"/>
      <w:numFmt w:val="upperLetter"/>
      <w:pStyle w:val="AppendixHeading"/>
      <w:suff w:val="space"/>
      <w:lvlText w:val="Appendix %1:"/>
      <w:lvlJc w:val="left"/>
      <w:pPr>
        <w:ind w:left="0" w:firstLine="0"/>
      </w:pPr>
      <w:rPr>
        <w:rFonts w:hint="default"/>
      </w:rPr>
    </w:lvl>
    <w:lvl w:ilvl="1">
      <w:start w:val="1"/>
      <w:numFmt w:val="decimal"/>
      <w:pStyle w:val="AppendixSubHeading"/>
      <w:suff w:val="space"/>
      <w:lvlText w:val="%1.%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07102F4D"/>
    <w:multiLevelType w:val="multilevel"/>
    <w:tmpl w:val="88E6788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13" w15:restartNumberingAfterBreak="0">
    <w:nsid w:val="0B6E29FF"/>
    <w:multiLevelType w:val="multilevel"/>
    <w:tmpl w:val="DFDC7920"/>
    <w:lvl w:ilvl="0">
      <w:start w:val="1"/>
      <w:numFmt w:val="bullet"/>
      <w:lvlText w:val=""/>
      <w:lvlJc w:val="left"/>
      <w:pPr>
        <w:ind w:left="360" w:hanging="360"/>
      </w:pPr>
      <w:rPr>
        <w:rFonts w:ascii="Symbol" w:hAnsi="Symbol" w:hint="default"/>
        <w:color w:val="000000" w:themeColor="text1"/>
      </w:rPr>
    </w:lvl>
    <w:lvl w:ilvl="1">
      <w:start w:val="1"/>
      <w:numFmt w:val="bullet"/>
      <w:lvlText w:val=""/>
      <w:lvlJc w:val="left"/>
      <w:pPr>
        <w:ind w:left="720" w:hanging="363"/>
      </w:pPr>
      <w:rPr>
        <w:rFonts w:ascii="Symbol" w:hAnsi="Symbol" w:hint="default"/>
        <w:color w:val="000000" w:themeColor="text1"/>
      </w:rPr>
    </w:lvl>
    <w:lvl w:ilvl="2">
      <w:start w:val="1"/>
      <w:numFmt w:val="bullet"/>
      <w:lvlText w:val="-"/>
      <w:lvlJc w:val="left"/>
      <w:pPr>
        <w:ind w:left="1077" w:hanging="357"/>
      </w:pPr>
      <w:rPr>
        <w:rFonts w:ascii="Arial" w:hAnsi="Arial" w:hint="default"/>
      </w:rPr>
    </w:lvl>
    <w:lvl w:ilvl="3">
      <w:start w:val="1"/>
      <w:numFmt w:val="bullet"/>
      <w:lvlText w:val=""/>
      <w:lvlJc w:val="left"/>
      <w:pPr>
        <w:ind w:left="1435" w:hanging="358"/>
      </w:pPr>
      <w:rPr>
        <w:rFonts w:ascii="Wingdings" w:hAnsi="Wingdings" w:hint="default"/>
        <w:color w:val="auto"/>
      </w:rPr>
    </w:lvl>
    <w:lvl w:ilvl="4">
      <w:start w:val="1"/>
      <w:numFmt w:val="none"/>
      <w:lvlText w:val="Notes:"/>
      <w:lvlJc w:val="left"/>
      <w:pPr>
        <w:ind w:left="0" w:firstLine="0"/>
      </w:pPr>
      <w:rPr>
        <w:rFonts w:hint="default"/>
        <w:b/>
        <w:i w:val="0"/>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0D3C7780"/>
    <w:multiLevelType w:val="multilevel"/>
    <w:tmpl w:val="31285C78"/>
    <w:lvl w:ilvl="0">
      <w:start w:val="1"/>
      <w:numFmt w:val="bullet"/>
      <w:lvlText w:val=""/>
      <w:lvlJc w:val="left"/>
      <w:pPr>
        <w:ind w:left="357" w:hanging="357"/>
      </w:pPr>
      <w:rPr>
        <w:rFonts w:ascii="Symbol" w:hAnsi="Symbol" w:hint="default"/>
        <w:color w:val="000000" w:themeColor="text1"/>
      </w:rPr>
    </w:lvl>
    <w:lvl w:ilvl="1">
      <w:start w:val="1"/>
      <w:numFmt w:val="bullet"/>
      <w:pStyle w:val="SAABullets2"/>
      <w:lvlText w:val=""/>
      <w:lvlJc w:val="left"/>
      <w:pPr>
        <w:ind w:left="717" w:hanging="360"/>
      </w:pPr>
      <w:rPr>
        <w:rFonts w:ascii="Symbol" w:hAnsi="Symbol" w:hint="default"/>
        <w:position w:val="3"/>
        <w:sz w:val="12"/>
        <w:vertAlign w:val="baseline"/>
      </w:rPr>
    </w:lvl>
    <w:lvl w:ilvl="2">
      <w:start w:val="1"/>
      <w:numFmt w:val="bullet"/>
      <w:lvlText w:val=""/>
      <w:lvlJc w:val="left"/>
      <w:pPr>
        <w:ind w:left="1077" w:hanging="357"/>
      </w:pPr>
      <w:rPr>
        <w:rFonts w:ascii="Symbol" w:hAnsi="Symbol" w:hint="default"/>
        <w:color w:val="000000" w:themeColor="text1"/>
      </w:rPr>
    </w:lvl>
    <w:lvl w:ilvl="3">
      <w:start w:val="1"/>
      <w:numFmt w:val="none"/>
      <w:suff w:val="nothing"/>
      <w:lvlText w:val=""/>
      <w:lvlJc w:val="left"/>
      <w:pPr>
        <w:ind w:left="714" w:firstLine="0"/>
      </w:pPr>
      <w:rPr>
        <w:color w:val="FF0000"/>
      </w:rPr>
    </w:lvl>
    <w:lvl w:ilvl="4">
      <w:start w:val="1"/>
      <w:numFmt w:val="none"/>
      <w:suff w:val="nothing"/>
      <w:lvlText w:val=""/>
      <w:lvlJc w:val="left"/>
      <w:pPr>
        <w:ind w:left="714" w:firstLine="0"/>
      </w:pPr>
      <w:rPr>
        <w:b/>
        <w:i w:val="0"/>
      </w:rPr>
    </w:lvl>
    <w:lvl w:ilvl="5">
      <w:start w:val="1"/>
      <w:numFmt w:val="none"/>
      <w:lvlText w:val=""/>
      <w:lvlJc w:val="left"/>
      <w:pPr>
        <w:ind w:left="714" w:firstLine="0"/>
      </w:pPr>
    </w:lvl>
    <w:lvl w:ilvl="6">
      <w:start w:val="1"/>
      <w:numFmt w:val="none"/>
      <w:lvlText w:val=""/>
      <w:lvlJc w:val="left"/>
      <w:pPr>
        <w:ind w:left="714" w:firstLine="0"/>
      </w:pPr>
    </w:lvl>
    <w:lvl w:ilvl="7">
      <w:start w:val="1"/>
      <w:numFmt w:val="none"/>
      <w:lvlText w:val=""/>
      <w:lvlJc w:val="left"/>
      <w:pPr>
        <w:ind w:left="714" w:firstLine="0"/>
      </w:pPr>
    </w:lvl>
    <w:lvl w:ilvl="8">
      <w:start w:val="1"/>
      <w:numFmt w:val="none"/>
      <w:lvlText w:val=""/>
      <w:lvlJc w:val="left"/>
      <w:pPr>
        <w:ind w:left="714" w:firstLine="0"/>
      </w:pPr>
    </w:lvl>
  </w:abstractNum>
  <w:abstractNum w:abstractNumId="15" w15:restartNumberingAfterBreak="0">
    <w:nsid w:val="122E1120"/>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5FA48C1"/>
    <w:multiLevelType w:val="multilevel"/>
    <w:tmpl w:val="3BB28A5A"/>
    <w:numStyleLink w:val="BulletList"/>
  </w:abstractNum>
  <w:abstractNum w:abstractNumId="17" w15:restartNumberingAfterBreak="0">
    <w:nsid w:val="198C4F02"/>
    <w:multiLevelType w:val="multilevel"/>
    <w:tmpl w:val="992E0F54"/>
    <w:lvl w:ilvl="0">
      <w:start w:val="1"/>
      <w:numFmt w:val="decimal"/>
      <w:suff w:val="space"/>
      <w:lvlText w:val="%1"/>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suff w:val="space"/>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D0B757D"/>
    <w:multiLevelType w:val="hybridMultilevel"/>
    <w:tmpl w:val="C4D80A1A"/>
    <w:lvl w:ilvl="0" w:tplc="DC369FBE">
      <w:start w:val="1"/>
      <w:numFmt w:val="bullet"/>
      <w:lvlText w:val=""/>
      <w:lvlJc w:val="left"/>
      <w:pPr>
        <w:ind w:left="720" w:hanging="360"/>
      </w:pPr>
      <w:rPr>
        <w:rFonts w:ascii="Symbol" w:hAnsi="Symbol" w:hint="default"/>
        <w:position w:val="3"/>
        <w:sz w:val="12"/>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66C3831"/>
    <w:multiLevelType w:val="hybridMultilevel"/>
    <w:tmpl w:val="B9C8CCF6"/>
    <w:lvl w:ilvl="0" w:tplc="7F4E79E8">
      <w:start w:val="1"/>
      <w:numFmt w:val="bullet"/>
      <w:lvlText w:val=""/>
      <w:lvlJc w:val="left"/>
      <w:pPr>
        <w:ind w:left="1077" w:hanging="360"/>
      </w:pPr>
      <w:rPr>
        <w:rFonts w:ascii="Wingdings" w:hAnsi="Wingdings" w:hint="default"/>
        <w:color w:val="auto"/>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0" w15:restartNumberingAfterBreak="0">
    <w:nsid w:val="2D4F791F"/>
    <w:multiLevelType w:val="hybridMultilevel"/>
    <w:tmpl w:val="F1C24B26"/>
    <w:lvl w:ilvl="0" w:tplc="678E1022">
      <w:start w:val="1"/>
      <w:numFmt w:val="bullet"/>
      <w:lvlText w:val=""/>
      <w:lvlJc w:val="left"/>
      <w:pPr>
        <w:ind w:left="1077" w:hanging="360"/>
      </w:pPr>
      <w:rPr>
        <w:rFonts w:ascii="Symbol" w:hAnsi="Symbol" w:hint="default"/>
        <w:color w:val="auto"/>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1" w15:restartNumberingAfterBreak="0">
    <w:nsid w:val="2D8761F2"/>
    <w:multiLevelType w:val="hybridMultilevel"/>
    <w:tmpl w:val="335CC3E8"/>
    <w:lvl w:ilvl="0" w:tplc="FD368956">
      <w:start w:val="2025"/>
      <w:numFmt w:val="bullet"/>
      <w:lvlText w:val="-"/>
      <w:lvlJc w:val="left"/>
      <w:pPr>
        <w:ind w:left="717" w:hanging="360"/>
      </w:pPr>
      <w:rPr>
        <w:rFonts w:ascii="Roboto Light" w:eastAsiaTheme="minorHAnsi" w:hAnsi="Roboto Light" w:cstheme="minorBidi"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22" w15:restartNumberingAfterBreak="0">
    <w:nsid w:val="2E116FEC"/>
    <w:multiLevelType w:val="multilevel"/>
    <w:tmpl w:val="FE26979A"/>
    <w:styleLink w:val="111111"/>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23" w15:restartNumberingAfterBreak="0">
    <w:nsid w:val="32B50F3D"/>
    <w:multiLevelType w:val="hybridMultilevel"/>
    <w:tmpl w:val="9CACEA9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4304D9E"/>
    <w:multiLevelType w:val="hybridMultilevel"/>
    <w:tmpl w:val="78C81CAC"/>
    <w:lvl w:ilvl="0" w:tplc="AE404368">
      <w:numFmt w:val="bullet"/>
      <w:lvlText w:val="-"/>
      <w:lvlJc w:val="left"/>
      <w:pPr>
        <w:ind w:left="360" w:hanging="360"/>
      </w:pPr>
      <w:rPr>
        <w:rFonts w:ascii="Roboto" w:eastAsia="Times New Roman" w:hAnsi="Roboto" w:cs="Times New Roman"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358E3C5C"/>
    <w:multiLevelType w:val="multilevel"/>
    <w:tmpl w:val="9B9A1150"/>
    <w:lvl w:ilvl="0">
      <w:numFmt w:val="bullet"/>
      <w:lvlText w:val=""/>
      <w:lvlJc w:val="left"/>
      <w:pPr>
        <w:ind w:left="357" w:hanging="357"/>
      </w:pPr>
      <w:rPr>
        <w:rFonts w:ascii="Symbol" w:hAnsi="Symbol" w:cs="Calibri" w:hint="default"/>
        <w:color w:val="000000" w:themeColor="text1"/>
        <w:sz w:val="14"/>
      </w:rPr>
    </w:lvl>
    <w:lvl w:ilvl="1">
      <w:start w:val="1"/>
      <w:numFmt w:val="bullet"/>
      <w:lvlText w:val=""/>
      <w:lvlJc w:val="left"/>
      <w:pPr>
        <w:ind w:left="720" w:hanging="363"/>
      </w:pPr>
      <w:rPr>
        <w:rFonts w:ascii="Symbol" w:hAnsi="Symbol" w:hint="default"/>
        <w:color w:val="000000" w:themeColor="text1"/>
      </w:rPr>
    </w:lvl>
    <w:lvl w:ilvl="2">
      <w:start w:val="2025"/>
      <w:numFmt w:val="bullet"/>
      <w:pStyle w:val="SAABullet3"/>
      <w:lvlText w:val="-"/>
      <w:lvlJc w:val="left"/>
      <w:pPr>
        <w:ind w:left="1080" w:hanging="360"/>
      </w:pPr>
      <w:rPr>
        <w:rFonts w:ascii="Roboto Light" w:eastAsiaTheme="minorHAnsi" w:hAnsi="Roboto Light" w:cstheme="minorBidi" w:hint="default"/>
      </w:rPr>
    </w:lvl>
    <w:lvl w:ilvl="3">
      <w:start w:val="1"/>
      <w:numFmt w:val="none"/>
      <w:suff w:val="nothing"/>
      <w:lvlText w:val=""/>
      <w:lvlJc w:val="left"/>
      <w:pPr>
        <w:ind w:left="714" w:firstLine="0"/>
      </w:pPr>
      <w:rPr>
        <w:color w:val="FF0000"/>
      </w:rPr>
    </w:lvl>
    <w:lvl w:ilvl="4">
      <w:start w:val="1"/>
      <w:numFmt w:val="none"/>
      <w:suff w:val="nothing"/>
      <w:lvlText w:val=""/>
      <w:lvlJc w:val="left"/>
      <w:pPr>
        <w:ind w:left="714" w:firstLine="0"/>
      </w:pPr>
      <w:rPr>
        <w:b/>
        <w:i w:val="0"/>
      </w:rPr>
    </w:lvl>
    <w:lvl w:ilvl="5">
      <w:start w:val="1"/>
      <w:numFmt w:val="none"/>
      <w:lvlText w:val=""/>
      <w:lvlJc w:val="left"/>
      <w:pPr>
        <w:ind w:left="714" w:firstLine="0"/>
      </w:pPr>
    </w:lvl>
    <w:lvl w:ilvl="6">
      <w:start w:val="1"/>
      <w:numFmt w:val="none"/>
      <w:lvlText w:val=""/>
      <w:lvlJc w:val="left"/>
      <w:pPr>
        <w:ind w:left="714" w:firstLine="0"/>
      </w:pPr>
    </w:lvl>
    <w:lvl w:ilvl="7">
      <w:start w:val="1"/>
      <w:numFmt w:val="none"/>
      <w:lvlText w:val=""/>
      <w:lvlJc w:val="left"/>
      <w:pPr>
        <w:ind w:left="714" w:firstLine="0"/>
      </w:pPr>
    </w:lvl>
    <w:lvl w:ilvl="8">
      <w:start w:val="1"/>
      <w:numFmt w:val="none"/>
      <w:lvlText w:val=""/>
      <w:lvlJc w:val="left"/>
      <w:pPr>
        <w:ind w:left="714" w:firstLine="0"/>
      </w:pPr>
    </w:lvl>
  </w:abstractNum>
  <w:abstractNum w:abstractNumId="26" w15:restartNumberingAfterBreak="0">
    <w:nsid w:val="385F51A1"/>
    <w:multiLevelType w:val="multilevel"/>
    <w:tmpl w:val="3BB28A5A"/>
    <w:styleLink w:val="BulletList"/>
    <w:lvl w:ilvl="0">
      <w:start w:val="1"/>
      <w:numFmt w:val="bullet"/>
      <w:lvlText w:val=""/>
      <w:lvlJc w:val="left"/>
      <w:pPr>
        <w:ind w:left="357" w:hanging="357"/>
      </w:pPr>
      <w:rPr>
        <w:rFonts w:ascii="Symbol" w:hAnsi="Symbol" w:hint="default"/>
        <w:color w:val="000000" w:themeColor="text1"/>
      </w:rPr>
    </w:lvl>
    <w:lvl w:ilvl="1">
      <w:start w:val="1"/>
      <w:numFmt w:val="bullet"/>
      <w:pStyle w:val="ListBullet2"/>
      <w:lvlText w:val=""/>
      <w:lvlJc w:val="left"/>
      <w:pPr>
        <w:ind w:left="720" w:hanging="363"/>
      </w:pPr>
      <w:rPr>
        <w:rFonts w:ascii="Symbol" w:hAnsi="Symbol" w:hint="default"/>
        <w:color w:val="000000" w:themeColor="text1"/>
      </w:rPr>
    </w:lvl>
    <w:lvl w:ilvl="2">
      <w:start w:val="1"/>
      <w:numFmt w:val="bullet"/>
      <w:pStyle w:val="ListBullet3"/>
      <w:lvlText w:val=""/>
      <w:lvlJc w:val="left"/>
      <w:pPr>
        <w:ind w:left="1077" w:hanging="357"/>
      </w:pPr>
      <w:rPr>
        <w:rFonts w:ascii="Symbol" w:hAnsi="Symbol" w:hint="default"/>
        <w:color w:val="000000" w:themeColor="text1"/>
      </w:rPr>
    </w:lvl>
    <w:lvl w:ilvl="3">
      <w:start w:val="1"/>
      <w:numFmt w:val="none"/>
      <w:suff w:val="nothing"/>
      <w:lvlText w:val=""/>
      <w:lvlJc w:val="left"/>
      <w:pPr>
        <w:ind w:left="714" w:firstLine="0"/>
      </w:pPr>
      <w:rPr>
        <w:rFonts w:hint="default"/>
        <w:color w:val="FF0000"/>
      </w:rPr>
    </w:lvl>
    <w:lvl w:ilvl="4">
      <w:start w:val="1"/>
      <w:numFmt w:val="none"/>
      <w:suff w:val="nothing"/>
      <w:lvlText w:val=""/>
      <w:lvlJc w:val="left"/>
      <w:pPr>
        <w:ind w:left="714" w:firstLine="0"/>
      </w:pPr>
      <w:rPr>
        <w:rFonts w:hint="default"/>
        <w:b/>
        <w:i w:val="0"/>
      </w:rPr>
    </w:lvl>
    <w:lvl w:ilvl="5">
      <w:start w:val="1"/>
      <w:numFmt w:val="none"/>
      <w:lvlText w:val=""/>
      <w:lvlJc w:val="left"/>
      <w:pPr>
        <w:ind w:left="714" w:firstLine="0"/>
      </w:pPr>
      <w:rPr>
        <w:rFonts w:hint="default"/>
      </w:rPr>
    </w:lvl>
    <w:lvl w:ilvl="6">
      <w:start w:val="1"/>
      <w:numFmt w:val="none"/>
      <w:lvlText w:val=""/>
      <w:lvlJc w:val="left"/>
      <w:pPr>
        <w:ind w:left="714" w:firstLine="0"/>
      </w:pPr>
      <w:rPr>
        <w:rFonts w:hint="default"/>
      </w:rPr>
    </w:lvl>
    <w:lvl w:ilvl="7">
      <w:start w:val="1"/>
      <w:numFmt w:val="none"/>
      <w:lvlText w:val=""/>
      <w:lvlJc w:val="left"/>
      <w:pPr>
        <w:ind w:left="714" w:firstLine="0"/>
      </w:pPr>
      <w:rPr>
        <w:rFonts w:hint="default"/>
      </w:rPr>
    </w:lvl>
    <w:lvl w:ilvl="8">
      <w:start w:val="1"/>
      <w:numFmt w:val="none"/>
      <w:lvlText w:val=""/>
      <w:lvlJc w:val="left"/>
      <w:pPr>
        <w:ind w:left="714" w:firstLine="0"/>
      </w:pPr>
      <w:rPr>
        <w:rFonts w:hint="default"/>
      </w:rPr>
    </w:lvl>
  </w:abstractNum>
  <w:abstractNum w:abstractNumId="27" w15:restartNumberingAfterBreak="0">
    <w:nsid w:val="3DFF2D8D"/>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08564EA"/>
    <w:multiLevelType w:val="multilevel"/>
    <w:tmpl w:val="2C8C4CE6"/>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decimal"/>
      <w:suff w:val="nothing"/>
      <w:lvlText w:val="%6"/>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15:restartNumberingAfterBreak="0">
    <w:nsid w:val="43F148C1"/>
    <w:multiLevelType w:val="multilevel"/>
    <w:tmpl w:val="BF8ABC42"/>
    <w:lvl w:ilvl="0">
      <w:start w:val="1"/>
      <w:numFmt w:val="bullet"/>
      <w:lvlText w:val=""/>
      <w:lvlJc w:val="left"/>
      <w:pPr>
        <w:ind w:left="360" w:hanging="360"/>
      </w:pPr>
      <w:rPr>
        <w:rFonts w:ascii="Symbol" w:hAnsi="Symbol" w:hint="default"/>
        <w:color w:val="000000" w:themeColor="text1"/>
      </w:rPr>
    </w:lvl>
    <w:lvl w:ilvl="1">
      <w:start w:val="1"/>
      <w:numFmt w:val="bullet"/>
      <w:lvlText w:val="o"/>
      <w:lvlJc w:val="left"/>
      <w:pPr>
        <w:ind w:left="720" w:hanging="363"/>
      </w:pPr>
      <w:rPr>
        <w:rFonts w:ascii="Courier New" w:hAnsi="Courier New" w:hint="default"/>
        <w:color w:val="000000" w:themeColor="text1"/>
      </w:rPr>
    </w:lvl>
    <w:lvl w:ilvl="2">
      <w:start w:val="1"/>
      <w:numFmt w:val="bullet"/>
      <w:lvlText w:val="-"/>
      <w:lvlJc w:val="left"/>
      <w:pPr>
        <w:ind w:left="1077" w:hanging="357"/>
      </w:pPr>
      <w:rPr>
        <w:rFonts w:ascii="Arial" w:hAnsi="Arial" w:hint="default"/>
      </w:rPr>
    </w:lvl>
    <w:lvl w:ilvl="3">
      <w:start w:val="1"/>
      <w:numFmt w:val="bullet"/>
      <w:lvlText w:val=""/>
      <w:lvlJc w:val="left"/>
      <w:pPr>
        <w:tabs>
          <w:tab w:val="num" w:pos="357"/>
        </w:tabs>
        <w:ind w:left="357" w:hanging="357"/>
      </w:pPr>
      <w:rPr>
        <w:rFonts w:ascii="Symbol" w:hAnsi="Symbol" w:hint="default"/>
        <w:color w:val="FF0000"/>
      </w:rPr>
    </w:lvl>
    <w:lvl w:ilvl="4">
      <w:start w:val="1"/>
      <w:numFmt w:val="none"/>
      <w:suff w:val="nothing"/>
      <w:lvlText w:val=""/>
      <w:lvlJc w:val="left"/>
      <w:pPr>
        <w:ind w:left="0" w:firstLine="0"/>
      </w:pPr>
      <w:rPr>
        <w:rFonts w:hint="default"/>
        <w:b/>
        <w:i w:val="0"/>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0" w15:restartNumberingAfterBreak="0">
    <w:nsid w:val="440839EF"/>
    <w:multiLevelType w:val="hybridMultilevel"/>
    <w:tmpl w:val="E9725768"/>
    <w:lvl w:ilvl="0" w:tplc="C2A6D20A">
      <w:start w:val="1"/>
      <w:numFmt w:val="bullet"/>
      <w:lvlText w:val=""/>
      <w:lvlJc w:val="left"/>
      <w:pPr>
        <w:ind w:left="1077" w:hanging="360"/>
      </w:pPr>
      <w:rPr>
        <w:rFonts w:ascii="Symbol" w:hAnsi="Symbol" w:hint="default"/>
        <w:color w:val="000000" w:themeColor="text1"/>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31" w15:restartNumberingAfterBreak="0">
    <w:nsid w:val="479C7D35"/>
    <w:multiLevelType w:val="hybridMultilevel"/>
    <w:tmpl w:val="9B8CE472"/>
    <w:lvl w:ilvl="0" w:tplc="AE325F5C">
      <w:start w:val="2025"/>
      <w:numFmt w:val="bullet"/>
      <w:pStyle w:val="SAABullet2"/>
      <w:lvlText w:val="-"/>
      <w:lvlJc w:val="left"/>
      <w:pPr>
        <w:ind w:left="717" w:hanging="360"/>
      </w:pPr>
      <w:rPr>
        <w:rFonts w:ascii="Roboto Light" w:eastAsiaTheme="minorHAnsi" w:hAnsi="Roboto Light" w:cstheme="minorBidi"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32" w15:restartNumberingAfterBreak="0">
    <w:nsid w:val="49C969E7"/>
    <w:multiLevelType w:val="multilevel"/>
    <w:tmpl w:val="4E380DE0"/>
    <w:styleLink w:val="1ai"/>
    <w:lvl w:ilvl="0">
      <w:start w:val="1"/>
      <w:numFmt w:val="decimal"/>
      <w:pStyle w:val="List"/>
      <w:lvlText w:val="%1."/>
      <w:lvlJc w:val="left"/>
      <w:pPr>
        <w:ind w:left="360" w:hanging="360"/>
      </w:pPr>
      <w:rPr>
        <w:rFonts w:hint="default"/>
      </w:rPr>
    </w:lvl>
    <w:lvl w:ilvl="1">
      <w:start w:val="1"/>
      <w:numFmt w:val="decimal"/>
      <w:pStyle w:val="List2"/>
      <w:lvlText w:val="%1.%2"/>
      <w:lvlJc w:val="left"/>
      <w:pPr>
        <w:ind w:left="720" w:hanging="360"/>
      </w:pPr>
      <w:rPr>
        <w:rFonts w:hint="default"/>
      </w:rPr>
    </w:lvl>
    <w:lvl w:ilvl="2">
      <w:start w:val="1"/>
      <w:numFmt w:val="decimal"/>
      <w:pStyle w:val="List3"/>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A0445F4"/>
    <w:multiLevelType w:val="multilevel"/>
    <w:tmpl w:val="0AE8C6AE"/>
    <w:styleLink w:val="Lists"/>
    <w:lvl w:ilvl="0">
      <w:start w:val="1"/>
      <w:numFmt w:val="none"/>
      <w:pStyle w:val="SAAmoreless"/>
      <w:suff w:val="nothing"/>
      <w:lvlText w:val="%1"/>
      <w:lvlJc w:val="left"/>
      <w:pPr>
        <w:ind w:left="0" w:firstLine="0"/>
      </w:pPr>
      <w:rPr>
        <w:rFonts w:hint="default"/>
      </w:rPr>
    </w:lvl>
    <w:lvl w:ilvl="1">
      <w:start w:val="1"/>
      <w:numFmt w:val="decimal"/>
      <w:lvlText w:val="%2."/>
      <w:lvlJc w:val="left"/>
      <w:pPr>
        <w:tabs>
          <w:tab w:val="num" w:pos="357"/>
        </w:tabs>
        <w:ind w:left="357" w:hanging="357"/>
      </w:pPr>
      <w:rPr>
        <w:rFonts w:hint="default"/>
      </w:rPr>
    </w:lvl>
    <w:lvl w:ilvl="2">
      <w:start w:val="1"/>
      <w:numFmt w:val="lowerLetter"/>
      <w:lvlText w:val="%3."/>
      <w:lvlJc w:val="left"/>
      <w:pPr>
        <w:tabs>
          <w:tab w:val="num" w:pos="720"/>
        </w:tabs>
        <w:ind w:left="720" w:hanging="363"/>
      </w:pPr>
      <w:rPr>
        <w:rFonts w:hint="default"/>
      </w:rPr>
    </w:lvl>
    <w:lvl w:ilvl="3">
      <w:start w:val="1"/>
      <w:numFmt w:val="lowerRoman"/>
      <w:lvlText w:val="%4."/>
      <w:lvlJc w:val="left"/>
      <w:pPr>
        <w:tabs>
          <w:tab w:val="num" w:pos="1077"/>
        </w:tabs>
        <w:ind w:left="1077" w:hanging="357"/>
      </w:pPr>
      <w:rPr>
        <w:rFonts w:hint="default"/>
      </w:rPr>
    </w:lvl>
    <w:lvl w:ilvl="4">
      <w:start w:val="1"/>
      <w:numFmt w:val="upperLetter"/>
      <w:lvlText w:val="%5."/>
      <w:lvlJc w:val="left"/>
      <w:pPr>
        <w:tabs>
          <w:tab w:val="num" w:pos="1435"/>
        </w:tabs>
        <w:ind w:left="1435" w:hanging="358"/>
      </w:pPr>
      <w:rPr>
        <w:rFonts w:hint="default"/>
      </w:rPr>
    </w:lvl>
    <w:lvl w:ilvl="5">
      <w:start w:val="1"/>
      <w:numFmt w:val="none"/>
      <w:suff w:val="nothing"/>
      <w:lvlText w:val="%6"/>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34" w15:restartNumberingAfterBreak="0">
    <w:nsid w:val="4ADC3125"/>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0872089"/>
    <w:multiLevelType w:val="multilevel"/>
    <w:tmpl w:val="DE5ADF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53BE764B"/>
    <w:multiLevelType w:val="hybridMultilevel"/>
    <w:tmpl w:val="038C71D2"/>
    <w:lvl w:ilvl="0" w:tplc="285A499A">
      <w:numFmt w:val="bullet"/>
      <w:lvlText w:val="-"/>
      <w:lvlJc w:val="left"/>
      <w:pPr>
        <w:ind w:left="717" w:hanging="360"/>
      </w:pPr>
      <w:rPr>
        <w:rFonts w:ascii="Roboto Light" w:eastAsiaTheme="minorHAnsi" w:hAnsi="Roboto Light" w:cstheme="minorBidi"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37" w15:restartNumberingAfterBreak="0">
    <w:nsid w:val="59EB6042"/>
    <w:multiLevelType w:val="hybridMultilevel"/>
    <w:tmpl w:val="BB66BB76"/>
    <w:lvl w:ilvl="0" w:tplc="2B70DAE4">
      <w:numFmt w:val="bullet"/>
      <w:lvlText w:val="•"/>
      <w:lvlJc w:val="left"/>
      <w:pPr>
        <w:ind w:left="1080" w:hanging="720"/>
      </w:pPr>
      <w:rPr>
        <w:rFonts w:ascii="Roboto Light" w:eastAsiaTheme="minorHAnsi" w:hAnsi="Roboto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D9D1EB1"/>
    <w:multiLevelType w:val="multilevel"/>
    <w:tmpl w:val="F3EC5186"/>
    <w:lvl w:ilvl="0">
      <w:numFmt w:val="bullet"/>
      <w:pStyle w:val="SAABullets"/>
      <w:lvlText w:val=""/>
      <w:lvlJc w:val="left"/>
      <w:pPr>
        <w:ind w:left="357" w:hanging="357"/>
      </w:pPr>
      <w:rPr>
        <w:rFonts w:ascii="Symbol" w:hAnsi="Symbol" w:cs="Calibri" w:hint="default"/>
        <w:color w:val="000000" w:themeColor="text1"/>
        <w:sz w:val="14"/>
      </w:rPr>
    </w:lvl>
    <w:lvl w:ilvl="1">
      <w:start w:val="1"/>
      <w:numFmt w:val="bullet"/>
      <w:lvlText w:val=""/>
      <w:lvlJc w:val="left"/>
      <w:pPr>
        <w:ind w:left="720" w:hanging="363"/>
      </w:pPr>
      <w:rPr>
        <w:rFonts w:ascii="Symbol" w:hAnsi="Symbol" w:hint="default"/>
        <w:color w:val="000000" w:themeColor="text1"/>
      </w:rPr>
    </w:lvl>
    <w:lvl w:ilvl="2">
      <w:start w:val="1"/>
      <w:numFmt w:val="bullet"/>
      <w:lvlText w:val=""/>
      <w:lvlJc w:val="left"/>
      <w:pPr>
        <w:ind w:left="1077" w:hanging="357"/>
      </w:pPr>
      <w:rPr>
        <w:rFonts w:ascii="Symbol" w:hAnsi="Symbol" w:hint="default"/>
        <w:color w:val="000000" w:themeColor="text1"/>
      </w:rPr>
    </w:lvl>
    <w:lvl w:ilvl="3">
      <w:start w:val="1"/>
      <w:numFmt w:val="none"/>
      <w:suff w:val="nothing"/>
      <w:lvlText w:val=""/>
      <w:lvlJc w:val="left"/>
      <w:pPr>
        <w:ind w:left="714" w:firstLine="0"/>
      </w:pPr>
      <w:rPr>
        <w:color w:val="FF0000"/>
      </w:rPr>
    </w:lvl>
    <w:lvl w:ilvl="4">
      <w:start w:val="1"/>
      <w:numFmt w:val="none"/>
      <w:suff w:val="nothing"/>
      <w:lvlText w:val=""/>
      <w:lvlJc w:val="left"/>
      <w:pPr>
        <w:ind w:left="714" w:firstLine="0"/>
      </w:pPr>
      <w:rPr>
        <w:b/>
        <w:i w:val="0"/>
      </w:rPr>
    </w:lvl>
    <w:lvl w:ilvl="5">
      <w:start w:val="1"/>
      <w:numFmt w:val="none"/>
      <w:lvlText w:val=""/>
      <w:lvlJc w:val="left"/>
      <w:pPr>
        <w:ind w:left="714" w:firstLine="0"/>
      </w:pPr>
    </w:lvl>
    <w:lvl w:ilvl="6">
      <w:start w:val="1"/>
      <w:numFmt w:val="none"/>
      <w:lvlText w:val=""/>
      <w:lvlJc w:val="left"/>
      <w:pPr>
        <w:ind w:left="714" w:firstLine="0"/>
      </w:pPr>
    </w:lvl>
    <w:lvl w:ilvl="7">
      <w:start w:val="1"/>
      <w:numFmt w:val="none"/>
      <w:lvlText w:val=""/>
      <w:lvlJc w:val="left"/>
      <w:pPr>
        <w:ind w:left="714" w:firstLine="0"/>
      </w:pPr>
    </w:lvl>
    <w:lvl w:ilvl="8">
      <w:start w:val="1"/>
      <w:numFmt w:val="none"/>
      <w:lvlText w:val=""/>
      <w:lvlJc w:val="left"/>
      <w:pPr>
        <w:ind w:left="714" w:firstLine="0"/>
      </w:pPr>
    </w:lvl>
  </w:abstractNum>
  <w:abstractNum w:abstractNumId="39" w15:restartNumberingAfterBreak="0">
    <w:nsid w:val="5DDE4EE4"/>
    <w:multiLevelType w:val="multilevel"/>
    <w:tmpl w:val="0AE8C6AE"/>
    <w:numStyleLink w:val="Lists"/>
  </w:abstractNum>
  <w:abstractNum w:abstractNumId="40" w15:restartNumberingAfterBreak="0">
    <w:nsid w:val="5F9767F2"/>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64363A73"/>
    <w:multiLevelType w:val="multilevel"/>
    <w:tmpl w:val="0B7AC5B6"/>
    <w:lvl w:ilvl="0">
      <w:start w:val="1"/>
      <w:numFmt w:val="none"/>
      <w:suff w:val="nothing"/>
      <w:lvlText w:val="%1"/>
      <w:lvlJc w:val="left"/>
      <w:pPr>
        <w:ind w:left="0" w:firstLine="0"/>
      </w:pPr>
      <w:rPr>
        <w:rFonts w:hint="default"/>
      </w:rPr>
    </w:lvl>
    <w:lvl w:ilvl="1">
      <w:start w:val="1"/>
      <w:numFmt w:val="none"/>
      <w:suff w:val="nothing"/>
      <w:lvlText w:val="%2%1"/>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suff w:val="space"/>
      <w:lvlText w:val="Appendix %4:"/>
      <w:lvlJc w:val="left"/>
      <w:pPr>
        <w:ind w:left="357" w:hanging="357"/>
      </w:pPr>
      <w:rPr>
        <w:rFonts w:hint="default"/>
      </w:rPr>
    </w:lvl>
    <w:lvl w:ilvl="4">
      <w:start w:val="1"/>
      <w:numFmt w:val="lowerLetter"/>
      <w:lvlText w:val="%5)"/>
      <w:lvlJc w:val="left"/>
      <w:pPr>
        <w:ind w:left="1077" w:hanging="357"/>
      </w:pPr>
      <w:rPr>
        <w:rFonts w:hint="default"/>
      </w:rPr>
    </w:lvl>
    <w:lvl w:ilvl="5">
      <w:start w:val="1"/>
      <w:numFmt w:val="lowerRoman"/>
      <w:lvlText w:val="%6)"/>
      <w:lvlJc w:val="left"/>
      <w:pPr>
        <w:ind w:left="1077" w:hanging="357"/>
      </w:pPr>
      <w:rPr>
        <w:rFonts w:hint="default"/>
      </w:rPr>
    </w:lvl>
    <w:lvl w:ilvl="6">
      <w:start w:val="1"/>
      <w:numFmt w:val="none"/>
      <w:lvlText w:val="%7"/>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2" w15:restartNumberingAfterBreak="0">
    <w:nsid w:val="66522948"/>
    <w:multiLevelType w:val="hybridMultilevel"/>
    <w:tmpl w:val="DC762AC0"/>
    <w:lvl w:ilvl="0" w:tplc="87D44DEE">
      <w:start w:val="1"/>
      <w:numFmt w:val="bullet"/>
      <w:lvlText w:val="•"/>
      <w:lvlJc w:val="left"/>
      <w:pPr>
        <w:tabs>
          <w:tab w:val="num" w:pos="720"/>
        </w:tabs>
        <w:ind w:left="720" w:hanging="360"/>
      </w:pPr>
      <w:rPr>
        <w:rFonts w:ascii="Times New Roman" w:hAnsi="Times New Roman" w:hint="default"/>
      </w:rPr>
    </w:lvl>
    <w:lvl w:ilvl="1" w:tplc="0394C342" w:tentative="1">
      <w:start w:val="1"/>
      <w:numFmt w:val="bullet"/>
      <w:lvlText w:val="•"/>
      <w:lvlJc w:val="left"/>
      <w:pPr>
        <w:tabs>
          <w:tab w:val="num" w:pos="1440"/>
        </w:tabs>
        <w:ind w:left="1440" w:hanging="360"/>
      </w:pPr>
      <w:rPr>
        <w:rFonts w:ascii="Times New Roman" w:hAnsi="Times New Roman" w:hint="default"/>
      </w:rPr>
    </w:lvl>
    <w:lvl w:ilvl="2" w:tplc="573AB188" w:tentative="1">
      <w:start w:val="1"/>
      <w:numFmt w:val="bullet"/>
      <w:lvlText w:val="•"/>
      <w:lvlJc w:val="left"/>
      <w:pPr>
        <w:tabs>
          <w:tab w:val="num" w:pos="2160"/>
        </w:tabs>
        <w:ind w:left="2160" w:hanging="360"/>
      </w:pPr>
      <w:rPr>
        <w:rFonts w:ascii="Times New Roman" w:hAnsi="Times New Roman" w:hint="default"/>
      </w:rPr>
    </w:lvl>
    <w:lvl w:ilvl="3" w:tplc="1DEEBCFC" w:tentative="1">
      <w:start w:val="1"/>
      <w:numFmt w:val="bullet"/>
      <w:lvlText w:val="•"/>
      <w:lvlJc w:val="left"/>
      <w:pPr>
        <w:tabs>
          <w:tab w:val="num" w:pos="2880"/>
        </w:tabs>
        <w:ind w:left="2880" w:hanging="360"/>
      </w:pPr>
      <w:rPr>
        <w:rFonts w:ascii="Times New Roman" w:hAnsi="Times New Roman" w:hint="default"/>
      </w:rPr>
    </w:lvl>
    <w:lvl w:ilvl="4" w:tplc="95DCA5BE" w:tentative="1">
      <w:start w:val="1"/>
      <w:numFmt w:val="bullet"/>
      <w:lvlText w:val="•"/>
      <w:lvlJc w:val="left"/>
      <w:pPr>
        <w:tabs>
          <w:tab w:val="num" w:pos="3600"/>
        </w:tabs>
        <w:ind w:left="3600" w:hanging="360"/>
      </w:pPr>
      <w:rPr>
        <w:rFonts w:ascii="Times New Roman" w:hAnsi="Times New Roman" w:hint="default"/>
      </w:rPr>
    </w:lvl>
    <w:lvl w:ilvl="5" w:tplc="EC4E1D44" w:tentative="1">
      <w:start w:val="1"/>
      <w:numFmt w:val="bullet"/>
      <w:lvlText w:val="•"/>
      <w:lvlJc w:val="left"/>
      <w:pPr>
        <w:tabs>
          <w:tab w:val="num" w:pos="4320"/>
        </w:tabs>
        <w:ind w:left="4320" w:hanging="360"/>
      </w:pPr>
      <w:rPr>
        <w:rFonts w:ascii="Times New Roman" w:hAnsi="Times New Roman" w:hint="default"/>
      </w:rPr>
    </w:lvl>
    <w:lvl w:ilvl="6" w:tplc="19925844" w:tentative="1">
      <w:start w:val="1"/>
      <w:numFmt w:val="bullet"/>
      <w:lvlText w:val="•"/>
      <w:lvlJc w:val="left"/>
      <w:pPr>
        <w:tabs>
          <w:tab w:val="num" w:pos="5040"/>
        </w:tabs>
        <w:ind w:left="5040" w:hanging="360"/>
      </w:pPr>
      <w:rPr>
        <w:rFonts w:ascii="Times New Roman" w:hAnsi="Times New Roman" w:hint="default"/>
      </w:rPr>
    </w:lvl>
    <w:lvl w:ilvl="7" w:tplc="A7A00F40" w:tentative="1">
      <w:start w:val="1"/>
      <w:numFmt w:val="bullet"/>
      <w:lvlText w:val="•"/>
      <w:lvlJc w:val="left"/>
      <w:pPr>
        <w:tabs>
          <w:tab w:val="num" w:pos="5760"/>
        </w:tabs>
        <w:ind w:left="5760" w:hanging="360"/>
      </w:pPr>
      <w:rPr>
        <w:rFonts w:ascii="Times New Roman" w:hAnsi="Times New Roman" w:hint="default"/>
      </w:rPr>
    </w:lvl>
    <w:lvl w:ilvl="8" w:tplc="754C5F4A" w:tentative="1">
      <w:start w:val="1"/>
      <w:numFmt w:val="bullet"/>
      <w:lvlText w:val="•"/>
      <w:lvlJc w:val="left"/>
      <w:pPr>
        <w:tabs>
          <w:tab w:val="num" w:pos="6480"/>
        </w:tabs>
        <w:ind w:left="6480" w:hanging="360"/>
      </w:pPr>
      <w:rPr>
        <w:rFonts w:ascii="Times New Roman" w:hAnsi="Times New Roman" w:hint="default"/>
      </w:rPr>
    </w:lvl>
  </w:abstractNum>
  <w:abstractNum w:abstractNumId="43" w15:restartNumberingAfterBreak="0">
    <w:nsid w:val="72D81143"/>
    <w:multiLevelType w:val="hybridMultilevel"/>
    <w:tmpl w:val="DA0ECEA2"/>
    <w:lvl w:ilvl="0" w:tplc="90FA73F2">
      <w:start w:val="1"/>
      <w:numFmt w:val="bullet"/>
      <w:lvlText w:val="•"/>
      <w:lvlJc w:val="left"/>
      <w:pPr>
        <w:tabs>
          <w:tab w:val="num" w:pos="720"/>
        </w:tabs>
        <w:ind w:left="720" w:hanging="360"/>
      </w:pPr>
      <w:rPr>
        <w:rFonts w:ascii="Times New Roman" w:hAnsi="Times New Roman" w:hint="default"/>
      </w:rPr>
    </w:lvl>
    <w:lvl w:ilvl="1" w:tplc="A18E6FDE" w:tentative="1">
      <w:start w:val="1"/>
      <w:numFmt w:val="bullet"/>
      <w:lvlText w:val="•"/>
      <w:lvlJc w:val="left"/>
      <w:pPr>
        <w:tabs>
          <w:tab w:val="num" w:pos="1440"/>
        </w:tabs>
        <w:ind w:left="1440" w:hanging="360"/>
      </w:pPr>
      <w:rPr>
        <w:rFonts w:ascii="Times New Roman" w:hAnsi="Times New Roman" w:hint="default"/>
      </w:rPr>
    </w:lvl>
    <w:lvl w:ilvl="2" w:tplc="FBFA61BA" w:tentative="1">
      <w:start w:val="1"/>
      <w:numFmt w:val="bullet"/>
      <w:lvlText w:val="•"/>
      <w:lvlJc w:val="left"/>
      <w:pPr>
        <w:tabs>
          <w:tab w:val="num" w:pos="2160"/>
        </w:tabs>
        <w:ind w:left="2160" w:hanging="360"/>
      </w:pPr>
      <w:rPr>
        <w:rFonts w:ascii="Times New Roman" w:hAnsi="Times New Roman" w:hint="default"/>
      </w:rPr>
    </w:lvl>
    <w:lvl w:ilvl="3" w:tplc="707A7700" w:tentative="1">
      <w:start w:val="1"/>
      <w:numFmt w:val="bullet"/>
      <w:lvlText w:val="•"/>
      <w:lvlJc w:val="left"/>
      <w:pPr>
        <w:tabs>
          <w:tab w:val="num" w:pos="2880"/>
        </w:tabs>
        <w:ind w:left="2880" w:hanging="360"/>
      </w:pPr>
      <w:rPr>
        <w:rFonts w:ascii="Times New Roman" w:hAnsi="Times New Roman" w:hint="default"/>
      </w:rPr>
    </w:lvl>
    <w:lvl w:ilvl="4" w:tplc="D570D1A6" w:tentative="1">
      <w:start w:val="1"/>
      <w:numFmt w:val="bullet"/>
      <w:lvlText w:val="•"/>
      <w:lvlJc w:val="left"/>
      <w:pPr>
        <w:tabs>
          <w:tab w:val="num" w:pos="3600"/>
        </w:tabs>
        <w:ind w:left="3600" w:hanging="360"/>
      </w:pPr>
      <w:rPr>
        <w:rFonts w:ascii="Times New Roman" w:hAnsi="Times New Roman" w:hint="default"/>
      </w:rPr>
    </w:lvl>
    <w:lvl w:ilvl="5" w:tplc="4420F8F0" w:tentative="1">
      <w:start w:val="1"/>
      <w:numFmt w:val="bullet"/>
      <w:lvlText w:val="•"/>
      <w:lvlJc w:val="left"/>
      <w:pPr>
        <w:tabs>
          <w:tab w:val="num" w:pos="4320"/>
        </w:tabs>
        <w:ind w:left="4320" w:hanging="360"/>
      </w:pPr>
      <w:rPr>
        <w:rFonts w:ascii="Times New Roman" w:hAnsi="Times New Roman" w:hint="default"/>
      </w:rPr>
    </w:lvl>
    <w:lvl w:ilvl="6" w:tplc="B4F49CE8" w:tentative="1">
      <w:start w:val="1"/>
      <w:numFmt w:val="bullet"/>
      <w:lvlText w:val="•"/>
      <w:lvlJc w:val="left"/>
      <w:pPr>
        <w:tabs>
          <w:tab w:val="num" w:pos="5040"/>
        </w:tabs>
        <w:ind w:left="5040" w:hanging="360"/>
      </w:pPr>
      <w:rPr>
        <w:rFonts w:ascii="Times New Roman" w:hAnsi="Times New Roman" w:hint="default"/>
      </w:rPr>
    </w:lvl>
    <w:lvl w:ilvl="7" w:tplc="D7C65F64" w:tentative="1">
      <w:start w:val="1"/>
      <w:numFmt w:val="bullet"/>
      <w:lvlText w:val="•"/>
      <w:lvlJc w:val="left"/>
      <w:pPr>
        <w:tabs>
          <w:tab w:val="num" w:pos="5760"/>
        </w:tabs>
        <w:ind w:left="5760" w:hanging="360"/>
      </w:pPr>
      <w:rPr>
        <w:rFonts w:ascii="Times New Roman" w:hAnsi="Times New Roman" w:hint="default"/>
      </w:rPr>
    </w:lvl>
    <w:lvl w:ilvl="8" w:tplc="04AA27AC" w:tentative="1">
      <w:start w:val="1"/>
      <w:numFmt w:val="bullet"/>
      <w:lvlText w:val="•"/>
      <w:lvlJc w:val="left"/>
      <w:pPr>
        <w:tabs>
          <w:tab w:val="num" w:pos="6480"/>
        </w:tabs>
        <w:ind w:left="6480" w:hanging="360"/>
      </w:pPr>
      <w:rPr>
        <w:rFonts w:ascii="Times New Roman" w:hAnsi="Times New Roman" w:hint="default"/>
      </w:rPr>
    </w:lvl>
  </w:abstractNum>
  <w:num w:numId="1" w16cid:durableId="1576233933">
    <w:abstractNumId w:val="19"/>
  </w:num>
  <w:num w:numId="2" w16cid:durableId="836002122">
    <w:abstractNumId w:val="20"/>
  </w:num>
  <w:num w:numId="3" w16cid:durableId="1733237732">
    <w:abstractNumId w:val="9"/>
  </w:num>
  <w:num w:numId="4" w16cid:durableId="140851968">
    <w:abstractNumId w:val="7"/>
  </w:num>
  <w:num w:numId="5" w16cid:durableId="222840810">
    <w:abstractNumId w:val="8"/>
  </w:num>
  <w:num w:numId="6" w16cid:durableId="1167746752">
    <w:abstractNumId w:val="9"/>
  </w:num>
  <w:num w:numId="7" w16cid:durableId="400107488">
    <w:abstractNumId w:val="9"/>
  </w:num>
  <w:num w:numId="8" w16cid:durableId="1549299408">
    <w:abstractNumId w:val="3"/>
  </w:num>
  <w:num w:numId="9" w16cid:durableId="1753505294">
    <w:abstractNumId w:val="2"/>
  </w:num>
  <w:num w:numId="10" w16cid:durableId="1683242546">
    <w:abstractNumId w:val="33"/>
  </w:num>
  <w:num w:numId="11" w16cid:durableId="187796508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59771606">
    <w:abstractNumId w:val="12"/>
  </w:num>
  <w:num w:numId="13" w16cid:durableId="6070803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22824623">
    <w:abstractNumId w:val="41"/>
  </w:num>
  <w:num w:numId="15" w16cid:durableId="1603565247">
    <w:abstractNumId w:val="42"/>
  </w:num>
  <w:num w:numId="16" w16cid:durableId="1617251401">
    <w:abstractNumId w:val="43"/>
  </w:num>
  <w:num w:numId="17" w16cid:durableId="1574656666">
    <w:abstractNumId w:val="6"/>
  </w:num>
  <w:num w:numId="18" w16cid:durableId="1760366838">
    <w:abstractNumId w:val="5"/>
  </w:num>
  <w:num w:numId="19" w16cid:durableId="1211501206">
    <w:abstractNumId w:val="1"/>
  </w:num>
  <w:num w:numId="20" w16cid:durableId="2119443736">
    <w:abstractNumId w:val="30"/>
  </w:num>
  <w:num w:numId="21" w16cid:durableId="1159735084">
    <w:abstractNumId w:val="4"/>
  </w:num>
  <w:num w:numId="22" w16cid:durableId="1195967847">
    <w:abstractNumId w:val="0"/>
  </w:num>
  <w:num w:numId="23" w16cid:durableId="553660400">
    <w:abstractNumId w:val="13"/>
  </w:num>
  <w:num w:numId="24" w16cid:durableId="618729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64814168">
    <w:abstractNumId w:val="29"/>
  </w:num>
  <w:num w:numId="26" w16cid:durableId="907424399">
    <w:abstractNumId w:val="17"/>
  </w:num>
  <w:num w:numId="27" w16cid:durableId="10741580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58934484">
    <w:abstractNumId w:val="28"/>
  </w:num>
  <w:num w:numId="29" w16cid:durableId="213185189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41886733">
    <w:abstractNumId w:val="39"/>
  </w:num>
  <w:num w:numId="31" w16cid:durableId="1279414779">
    <w:abstractNumId w:val="11"/>
  </w:num>
  <w:num w:numId="32" w16cid:durableId="12360145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04868851">
    <w:abstractNumId w:val="40"/>
  </w:num>
  <w:num w:numId="34" w16cid:durableId="1707675797">
    <w:abstractNumId w:val="23"/>
  </w:num>
  <w:num w:numId="35" w16cid:durableId="255796473">
    <w:abstractNumId w:val="27"/>
  </w:num>
  <w:num w:numId="36" w16cid:durableId="1464887363">
    <w:abstractNumId w:val="34"/>
  </w:num>
  <w:num w:numId="37" w16cid:durableId="53359496">
    <w:abstractNumId w:val="22"/>
  </w:num>
  <w:num w:numId="38" w16cid:durableId="989676128">
    <w:abstractNumId w:val="26"/>
  </w:num>
  <w:num w:numId="39" w16cid:durableId="170127249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29252540">
    <w:abstractNumId w:val="15"/>
  </w:num>
  <w:num w:numId="41" w16cid:durableId="781530164">
    <w:abstractNumId w:val="32"/>
  </w:num>
  <w:num w:numId="42" w16cid:durableId="1178693016">
    <w:abstractNumId w:val="10"/>
  </w:num>
  <w:num w:numId="43" w16cid:durableId="1884713255">
    <w:abstractNumId w:val="35"/>
  </w:num>
  <w:num w:numId="44" w16cid:durableId="1413509865">
    <w:abstractNumId w:val="16"/>
  </w:num>
  <w:num w:numId="45" w16cid:durableId="1248728684">
    <w:abstractNumId w:val="37"/>
  </w:num>
  <w:num w:numId="46" w16cid:durableId="1021054170">
    <w:abstractNumId w:val="24"/>
  </w:num>
  <w:num w:numId="47" w16cid:durableId="1514681533">
    <w:abstractNumId w:val="18"/>
  </w:num>
  <w:num w:numId="48" w16cid:durableId="1393046156">
    <w:abstractNumId w:val="3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12292429">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983624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748875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57140137">
    <w:abstractNumId w:val="2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825434698">
    <w:abstractNumId w:val="4"/>
  </w:num>
  <w:num w:numId="54" w16cid:durableId="65812275">
    <w:abstractNumId w:val="0"/>
    <w:lvlOverride w:ilvl="0">
      <w:startOverride w:val="1"/>
    </w:lvlOverride>
  </w:num>
  <w:num w:numId="55" w16cid:durableId="818182942">
    <w:abstractNumId w:val="21"/>
  </w:num>
  <w:num w:numId="56" w16cid:durableId="323894434">
    <w:abstractNumId w:val="31"/>
  </w:num>
  <w:num w:numId="57" w16cid:durableId="1203134627">
    <w:abstractNumId w:val="25"/>
  </w:num>
  <w:num w:numId="58" w16cid:durableId="20560674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attachedTemplate r:id="rId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663"/>
    <w:rsid w:val="00005D98"/>
    <w:rsid w:val="00006E0E"/>
    <w:rsid w:val="00010D5E"/>
    <w:rsid w:val="00011C96"/>
    <w:rsid w:val="00013637"/>
    <w:rsid w:val="000141B9"/>
    <w:rsid w:val="00034A19"/>
    <w:rsid w:val="00036F9E"/>
    <w:rsid w:val="000413B3"/>
    <w:rsid w:val="00046629"/>
    <w:rsid w:val="00046946"/>
    <w:rsid w:val="00055935"/>
    <w:rsid w:val="00057B71"/>
    <w:rsid w:val="00067C37"/>
    <w:rsid w:val="0007202C"/>
    <w:rsid w:val="00072B30"/>
    <w:rsid w:val="0007319C"/>
    <w:rsid w:val="000732AA"/>
    <w:rsid w:val="000767DD"/>
    <w:rsid w:val="00084F8B"/>
    <w:rsid w:val="00086D07"/>
    <w:rsid w:val="00086F71"/>
    <w:rsid w:val="000923A6"/>
    <w:rsid w:val="00093915"/>
    <w:rsid w:val="000949AD"/>
    <w:rsid w:val="00095109"/>
    <w:rsid w:val="00096B0F"/>
    <w:rsid w:val="000A490E"/>
    <w:rsid w:val="000A4BE4"/>
    <w:rsid w:val="000B04C5"/>
    <w:rsid w:val="000B63CA"/>
    <w:rsid w:val="000B752A"/>
    <w:rsid w:val="000C14D9"/>
    <w:rsid w:val="000C15C7"/>
    <w:rsid w:val="000D4EDE"/>
    <w:rsid w:val="000E2460"/>
    <w:rsid w:val="000E43AC"/>
    <w:rsid w:val="000F703E"/>
    <w:rsid w:val="001066AD"/>
    <w:rsid w:val="00123576"/>
    <w:rsid w:val="00124B21"/>
    <w:rsid w:val="001327B8"/>
    <w:rsid w:val="0013471B"/>
    <w:rsid w:val="001352D4"/>
    <w:rsid w:val="00157C98"/>
    <w:rsid w:val="001653B6"/>
    <w:rsid w:val="00174B0F"/>
    <w:rsid w:val="0018235E"/>
    <w:rsid w:val="00193250"/>
    <w:rsid w:val="001A0A6D"/>
    <w:rsid w:val="001A664F"/>
    <w:rsid w:val="001B2DB7"/>
    <w:rsid w:val="001B36DF"/>
    <w:rsid w:val="001B3FFD"/>
    <w:rsid w:val="001C1E92"/>
    <w:rsid w:val="001C7CBD"/>
    <w:rsid w:val="001D0C02"/>
    <w:rsid w:val="001D121E"/>
    <w:rsid w:val="001E0F51"/>
    <w:rsid w:val="001E55BF"/>
    <w:rsid w:val="001F4BF9"/>
    <w:rsid w:val="001F5886"/>
    <w:rsid w:val="001F6E1A"/>
    <w:rsid w:val="001F7277"/>
    <w:rsid w:val="001F780A"/>
    <w:rsid w:val="001F7917"/>
    <w:rsid w:val="00200613"/>
    <w:rsid w:val="00205ED1"/>
    <w:rsid w:val="00220550"/>
    <w:rsid w:val="002301A2"/>
    <w:rsid w:val="00236C2D"/>
    <w:rsid w:val="002374B7"/>
    <w:rsid w:val="00240126"/>
    <w:rsid w:val="0024304D"/>
    <w:rsid w:val="0024336B"/>
    <w:rsid w:val="002439E1"/>
    <w:rsid w:val="00244826"/>
    <w:rsid w:val="00247ACA"/>
    <w:rsid w:val="00252E6A"/>
    <w:rsid w:val="0025782A"/>
    <w:rsid w:val="002661A6"/>
    <w:rsid w:val="00266C23"/>
    <w:rsid w:val="0027288E"/>
    <w:rsid w:val="00285600"/>
    <w:rsid w:val="00286EAD"/>
    <w:rsid w:val="0029389B"/>
    <w:rsid w:val="00296F7F"/>
    <w:rsid w:val="002A1894"/>
    <w:rsid w:val="002A2188"/>
    <w:rsid w:val="002A36F2"/>
    <w:rsid w:val="002A7D14"/>
    <w:rsid w:val="002B0913"/>
    <w:rsid w:val="002B28E4"/>
    <w:rsid w:val="002B7504"/>
    <w:rsid w:val="002C0D97"/>
    <w:rsid w:val="002C186C"/>
    <w:rsid w:val="002C66D1"/>
    <w:rsid w:val="002C7065"/>
    <w:rsid w:val="002C7F4A"/>
    <w:rsid w:val="002D2804"/>
    <w:rsid w:val="002D4B6C"/>
    <w:rsid w:val="002D5274"/>
    <w:rsid w:val="002E490C"/>
    <w:rsid w:val="002F0C2C"/>
    <w:rsid w:val="00300655"/>
    <w:rsid w:val="00303D18"/>
    <w:rsid w:val="00307ADD"/>
    <w:rsid w:val="00312A66"/>
    <w:rsid w:val="003130CA"/>
    <w:rsid w:val="003175B0"/>
    <w:rsid w:val="00322B20"/>
    <w:rsid w:val="00350658"/>
    <w:rsid w:val="003506BD"/>
    <w:rsid w:val="003517AE"/>
    <w:rsid w:val="00353DF4"/>
    <w:rsid w:val="00354563"/>
    <w:rsid w:val="003633D1"/>
    <w:rsid w:val="00371F54"/>
    <w:rsid w:val="00374727"/>
    <w:rsid w:val="0037770C"/>
    <w:rsid w:val="00377C8B"/>
    <w:rsid w:val="0038268A"/>
    <w:rsid w:val="00383A95"/>
    <w:rsid w:val="00385CA0"/>
    <w:rsid w:val="003A23DC"/>
    <w:rsid w:val="003A2733"/>
    <w:rsid w:val="003A3021"/>
    <w:rsid w:val="003A627E"/>
    <w:rsid w:val="003A79EE"/>
    <w:rsid w:val="003B3395"/>
    <w:rsid w:val="003B6E16"/>
    <w:rsid w:val="003C0A80"/>
    <w:rsid w:val="003C180A"/>
    <w:rsid w:val="003C1E25"/>
    <w:rsid w:val="003D1294"/>
    <w:rsid w:val="003D160A"/>
    <w:rsid w:val="003D27CB"/>
    <w:rsid w:val="003D329D"/>
    <w:rsid w:val="003E0413"/>
    <w:rsid w:val="003E6BF6"/>
    <w:rsid w:val="003F0F0D"/>
    <w:rsid w:val="003F14FD"/>
    <w:rsid w:val="003F398B"/>
    <w:rsid w:val="003F4B55"/>
    <w:rsid w:val="0040173E"/>
    <w:rsid w:val="00411E5A"/>
    <w:rsid w:val="00427DD6"/>
    <w:rsid w:val="00435339"/>
    <w:rsid w:val="0044447D"/>
    <w:rsid w:val="00452FBB"/>
    <w:rsid w:val="00461869"/>
    <w:rsid w:val="00463FA8"/>
    <w:rsid w:val="00467BFA"/>
    <w:rsid w:val="004713C7"/>
    <w:rsid w:val="00472CBC"/>
    <w:rsid w:val="004754C6"/>
    <w:rsid w:val="00493DAA"/>
    <w:rsid w:val="0049428C"/>
    <w:rsid w:val="00494335"/>
    <w:rsid w:val="00495A4C"/>
    <w:rsid w:val="004967A1"/>
    <w:rsid w:val="004A2CFC"/>
    <w:rsid w:val="004B584E"/>
    <w:rsid w:val="004B7A53"/>
    <w:rsid w:val="004C1106"/>
    <w:rsid w:val="004C1634"/>
    <w:rsid w:val="004C6D4B"/>
    <w:rsid w:val="004D2E47"/>
    <w:rsid w:val="004E2269"/>
    <w:rsid w:val="004E5C89"/>
    <w:rsid w:val="004F3339"/>
    <w:rsid w:val="004F72A2"/>
    <w:rsid w:val="00500FC7"/>
    <w:rsid w:val="005026D4"/>
    <w:rsid w:val="00503A51"/>
    <w:rsid w:val="00504AD9"/>
    <w:rsid w:val="0051007F"/>
    <w:rsid w:val="00512309"/>
    <w:rsid w:val="00521D3D"/>
    <w:rsid w:val="0052389F"/>
    <w:rsid w:val="00524BBB"/>
    <w:rsid w:val="00531DC2"/>
    <w:rsid w:val="00542522"/>
    <w:rsid w:val="0054526E"/>
    <w:rsid w:val="005476B5"/>
    <w:rsid w:val="005541D2"/>
    <w:rsid w:val="005602DA"/>
    <w:rsid w:val="00573327"/>
    <w:rsid w:val="005800B4"/>
    <w:rsid w:val="00593D9F"/>
    <w:rsid w:val="00594534"/>
    <w:rsid w:val="0059754A"/>
    <w:rsid w:val="005A3F63"/>
    <w:rsid w:val="005A59D0"/>
    <w:rsid w:val="005A77A8"/>
    <w:rsid w:val="005A7D28"/>
    <w:rsid w:val="005B073E"/>
    <w:rsid w:val="005B227F"/>
    <w:rsid w:val="005B31F4"/>
    <w:rsid w:val="005B7801"/>
    <w:rsid w:val="005C38C6"/>
    <w:rsid w:val="005C5891"/>
    <w:rsid w:val="005D013D"/>
    <w:rsid w:val="005D5FAE"/>
    <w:rsid w:val="005E07D0"/>
    <w:rsid w:val="005F182B"/>
    <w:rsid w:val="005F29B7"/>
    <w:rsid w:val="0060225B"/>
    <w:rsid w:val="00606EB5"/>
    <w:rsid w:val="00617FDA"/>
    <w:rsid w:val="0062116F"/>
    <w:rsid w:val="00621260"/>
    <w:rsid w:val="006228BD"/>
    <w:rsid w:val="00626087"/>
    <w:rsid w:val="00626616"/>
    <w:rsid w:val="006309FA"/>
    <w:rsid w:val="00630D9F"/>
    <w:rsid w:val="00634E4C"/>
    <w:rsid w:val="00635BA8"/>
    <w:rsid w:val="00636B8B"/>
    <w:rsid w:val="00640314"/>
    <w:rsid w:val="006427FE"/>
    <w:rsid w:val="006433A5"/>
    <w:rsid w:val="0064379D"/>
    <w:rsid w:val="006506C1"/>
    <w:rsid w:val="0065747A"/>
    <w:rsid w:val="00661C3B"/>
    <w:rsid w:val="00665C24"/>
    <w:rsid w:val="0066674D"/>
    <w:rsid w:val="00666A78"/>
    <w:rsid w:val="00676C12"/>
    <w:rsid w:val="00681892"/>
    <w:rsid w:val="0069375D"/>
    <w:rsid w:val="0069407C"/>
    <w:rsid w:val="0069574E"/>
    <w:rsid w:val="006A17C7"/>
    <w:rsid w:val="006A1921"/>
    <w:rsid w:val="006A2303"/>
    <w:rsid w:val="006A5CF3"/>
    <w:rsid w:val="006A74F2"/>
    <w:rsid w:val="006C4468"/>
    <w:rsid w:val="006C497A"/>
    <w:rsid w:val="006F145A"/>
    <w:rsid w:val="006F27CB"/>
    <w:rsid w:val="006F359B"/>
    <w:rsid w:val="006F5865"/>
    <w:rsid w:val="006F6C6C"/>
    <w:rsid w:val="006F74B8"/>
    <w:rsid w:val="00700805"/>
    <w:rsid w:val="00701EC6"/>
    <w:rsid w:val="00706179"/>
    <w:rsid w:val="00714F78"/>
    <w:rsid w:val="007170F7"/>
    <w:rsid w:val="007253B8"/>
    <w:rsid w:val="00725949"/>
    <w:rsid w:val="00736E7D"/>
    <w:rsid w:val="007509A6"/>
    <w:rsid w:val="00753F83"/>
    <w:rsid w:val="007541B0"/>
    <w:rsid w:val="0075469B"/>
    <w:rsid w:val="00755163"/>
    <w:rsid w:val="00756AAB"/>
    <w:rsid w:val="00757F63"/>
    <w:rsid w:val="007645AE"/>
    <w:rsid w:val="00764992"/>
    <w:rsid w:val="00772D1C"/>
    <w:rsid w:val="00774484"/>
    <w:rsid w:val="007759FA"/>
    <w:rsid w:val="00775AA0"/>
    <w:rsid w:val="007770FA"/>
    <w:rsid w:val="007859C4"/>
    <w:rsid w:val="007860F1"/>
    <w:rsid w:val="00791738"/>
    <w:rsid w:val="00791780"/>
    <w:rsid w:val="00792BFF"/>
    <w:rsid w:val="007A0EB7"/>
    <w:rsid w:val="007A136D"/>
    <w:rsid w:val="007A332A"/>
    <w:rsid w:val="007B6D28"/>
    <w:rsid w:val="007C08B1"/>
    <w:rsid w:val="007C2CC2"/>
    <w:rsid w:val="007C38BD"/>
    <w:rsid w:val="007C3DA5"/>
    <w:rsid w:val="007C79AA"/>
    <w:rsid w:val="007D2E34"/>
    <w:rsid w:val="007D31DA"/>
    <w:rsid w:val="007D72C5"/>
    <w:rsid w:val="007E3102"/>
    <w:rsid w:val="007E525D"/>
    <w:rsid w:val="007E688F"/>
    <w:rsid w:val="007E7AA0"/>
    <w:rsid w:val="007F0323"/>
    <w:rsid w:val="007F379E"/>
    <w:rsid w:val="007F471C"/>
    <w:rsid w:val="007F5E4B"/>
    <w:rsid w:val="00800C90"/>
    <w:rsid w:val="008125F8"/>
    <w:rsid w:val="00814E42"/>
    <w:rsid w:val="00823002"/>
    <w:rsid w:val="00836EAF"/>
    <w:rsid w:val="00840764"/>
    <w:rsid w:val="00844B1D"/>
    <w:rsid w:val="00844F5C"/>
    <w:rsid w:val="00845843"/>
    <w:rsid w:val="00846D34"/>
    <w:rsid w:val="00854447"/>
    <w:rsid w:val="008637EC"/>
    <w:rsid w:val="008702F4"/>
    <w:rsid w:val="00870BC6"/>
    <w:rsid w:val="0088036D"/>
    <w:rsid w:val="00881155"/>
    <w:rsid w:val="00882892"/>
    <w:rsid w:val="00885A14"/>
    <w:rsid w:val="0088689B"/>
    <w:rsid w:val="00890FA0"/>
    <w:rsid w:val="0089395B"/>
    <w:rsid w:val="008947BF"/>
    <w:rsid w:val="00895C87"/>
    <w:rsid w:val="00896370"/>
    <w:rsid w:val="008A214D"/>
    <w:rsid w:val="008A5B5C"/>
    <w:rsid w:val="008A72D2"/>
    <w:rsid w:val="008A74A3"/>
    <w:rsid w:val="008B6868"/>
    <w:rsid w:val="008B6D24"/>
    <w:rsid w:val="008C6A43"/>
    <w:rsid w:val="008C715C"/>
    <w:rsid w:val="008D080C"/>
    <w:rsid w:val="008D6437"/>
    <w:rsid w:val="008D6EDF"/>
    <w:rsid w:val="008E3EF5"/>
    <w:rsid w:val="008F09F3"/>
    <w:rsid w:val="008F19E6"/>
    <w:rsid w:val="008F33B5"/>
    <w:rsid w:val="00906799"/>
    <w:rsid w:val="0090758E"/>
    <w:rsid w:val="00911670"/>
    <w:rsid w:val="00915194"/>
    <w:rsid w:val="00922193"/>
    <w:rsid w:val="00922F04"/>
    <w:rsid w:val="00924152"/>
    <w:rsid w:val="0093194D"/>
    <w:rsid w:val="00934C3F"/>
    <w:rsid w:val="0094067F"/>
    <w:rsid w:val="009417AE"/>
    <w:rsid w:val="00945B3F"/>
    <w:rsid w:val="00950DCB"/>
    <w:rsid w:val="00951CC3"/>
    <w:rsid w:val="00952D4C"/>
    <w:rsid w:val="009558DF"/>
    <w:rsid w:val="00960246"/>
    <w:rsid w:val="009720E1"/>
    <w:rsid w:val="00974F0E"/>
    <w:rsid w:val="00975CD7"/>
    <w:rsid w:val="009802AB"/>
    <w:rsid w:val="00982728"/>
    <w:rsid w:val="00984E1B"/>
    <w:rsid w:val="00985E70"/>
    <w:rsid w:val="009979F4"/>
    <w:rsid w:val="009A45B2"/>
    <w:rsid w:val="009A5585"/>
    <w:rsid w:val="009A59D5"/>
    <w:rsid w:val="009C1C1C"/>
    <w:rsid w:val="009C2705"/>
    <w:rsid w:val="009C4ABD"/>
    <w:rsid w:val="009C5FDF"/>
    <w:rsid w:val="009D2DDD"/>
    <w:rsid w:val="009F22A4"/>
    <w:rsid w:val="00A10DA6"/>
    <w:rsid w:val="00A151E9"/>
    <w:rsid w:val="00A15DBB"/>
    <w:rsid w:val="00A25188"/>
    <w:rsid w:val="00A259F2"/>
    <w:rsid w:val="00A26E47"/>
    <w:rsid w:val="00A33802"/>
    <w:rsid w:val="00A37162"/>
    <w:rsid w:val="00A37E51"/>
    <w:rsid w:val="00A42462"/>
    <w:rsid w:val="00A53690"/>
    <w:rsid w:val="00A62D31"/>
    <w:rsid w:val="00A63380"/>
    <w:rsid w:val="00A812C2"/>
    <w:rsid w:val="00A865C7"/>
    <w:rsid w:val="00A97E3B"/>
    <w:rsid w:val="00AA20A1"/>
    <w:rsid w:val="00AA41F2"/>
    <w:rsid w:val="00AB039E"/>
    <w:rsid w:val="00AB4206"/>
    <w:rsid w:val="00AC6C84"/>
    <w:rsid w:val="00AC7E54"/>
    <w:rsid w:val="00AD7847"/>
    <w:rsid w:val="00AE6A4E"/>
    <w:rsid w:val="00AE7B98"/>
    <w:rsid w:val="00AF129F"/>
    <w:rsid w:val="00AF343C"/>
    <w:rsid w:val="00B055D9"/>
    <w:rsid w:val="00B12DC9"/>
    <w:rsid w:val="00B13F84"/>
    <w:rsid w:val="00B14604"/>
    <w:rsid w:val="00B15ABA"/>
    <w:rsid w:val="00B21076"/>
    <w:rsid w:val="00B212BE"/>
    <w:rsid w:val="00B22ABA"/>
    <w:rsid w:val="00B2646F"/>
    <w:rsid w:val="00B30663"/>
    <w:rsid w:val="00B34339"/>
    <w:rsid w:val="00B42B2F"/>
    <w:rsid w:val="00B44900"/>
    <w:rsid w:val="00B472E1"/>
    <w:rsid w:val="00B52821"/>
    <w:rsid w:val="00B54093"/>
    <w:rsid w:val="00B562CF"/>
    <w:rsid w:val="00B569A2"/>
    <w:rsid w:val="00B61D9C"/>
    <w:rsid w:val="00B71170"/>
    <w:rsid w:val="00B73BDF"/>
    <w:rsid w:val="00B80BCE"/>
    <w:rsid w:val="00B81524"/>
    <w:rsid w:val="00B81740"/>
    <w:rsid w:val="00B81DE1"/>
    <w:rsid w:val="00B82670"/>
    <w:rsid w:val="00B85D7B"/>
    <w:rsid w:val="00B900EA"/>
    <w:rsid w:val="00B91069"/>
    <w:rsid w:val="00B92842"/>
    <w:rsid w:val="00B95CD0"/>
    <w:rsid w:val="00BA2713"/>
    <w:rsid w:val="00BA2941"/>
    <w:rsid w:val="00BA4C61"/>
    <w:rsid w:val="00BA4F59"/>
    <w:rsid w:val="00BA5769"/>
    <w:rsid w:val="00BA627A"/>
    <w:rsid w:val="00BA7F6F"/>
    <w:rsid w:val="00BB0F09"/>
    <w:rsid w:val="00BB22FA"/>
    <w:rsid w:val="00BB687E"/>
    <w:rsid w:val="00BC5027"/>
    <w:rsid w:val="00BD12A1"/>
    <w:rsid w:val="00BD7B83"/>
    <w:rsid w:val="00BE164A"/>
    <w:rsid w:val="00BE326F"/>
    <w:rsid w:val="00BE5510"/>
    <w:rsid w:val="00BF17C6"/>
    <w:rsid w:val="00BF4E46"/>
    <w:rsid w:val="00C00FDA"/>
    <w:rsid w:val="00C02EB9"/>
    <w:rsid w:val="00C04E4B"/>
    <w:rsid w:val="00C05687"/>
    <w:rsid w:val="00C11B56"/>
    <w:rsid w:val="00C16045"/>
    <w:rsid w:val="00C21E27"/>
    <w:rsid w:val="00C25E54"/>
    <w:rsid w:val="00C3521C"/>
    <w:rsid w:val="00C35AF9"/>
    <w:rsid w:val="00C371C4"/>
    <w:rsid w:val="00C56426"/>
    <w:rsid w:val="00C62BF5"/>
    <w:rsid w:val="00C636DA"/>
    <w:rsid w:val="00C658A2"/>
    <w:rsid w:val="00C66ED9"/>
    <w:rsid w:val="00C67E22"/>
    <w:rsid w:val="00C72271"/>
    <w:rsid w:val="00C770AD"/>
    <w:rsid w:val="00C81356"/>
    <w:rsid w:val="00C87DA0"/>
    <w:rsid w:val="00C9387D"/>
    <w:rsid w:val="00CA6EB8"/>
    <w:rsid w:val="00CA6FF9"/>
    <w:rsid w:val="00CA7890"/>
    <w:rsid w:val="00CB4238"/>
    <w:rsid w:val="00CB5938"/>
    <w:rsid w:val="00CC0708"/>
    <w:rsid w:val="00CC1A64"/>
    <w:rsid w:val="00CC275F"/>
    <w:rsid w:val="00CC333D"/>
    <w:rsid w:val="00CC34EB"/>
    <w:rsid w:val="00CC66EA"/>
    <w:rsid w:val="00CD3C17"/>
    <w:rsid w:val="00CE1F9C"/>
    <w:rsid w:val="00CE2E48"/>
    <w:rsid w:val="00CF6672"/>
    <w:rsid w:val="00D021F7"/>
    <w:rsid w:val="00D02BCA"/>
    <w:rsid w:val="00D069C7"/>
    <w:rsid w:val="00D078A2"/>
    <w:rsid w:val="00D21123"/>
    <w:rsid w:val="00D26BB7"/>
    <w:rsid w:val="00D367EB"/>
    <w:rsid w:val="00D45731"/>
    <w:rsid w:val="00D45954"/>
    <w:rsid w:val="00D461C2"/>
    <w:rsid w:val="00D61AAE"/>
    <w:rsid w:val="00D64CB8"/>
    <w:rsid w:val="00D71B9E"/>
    <w:rsid w:val="00D72FD8"/>
    <w:rsid w:val="00D741AA"/>
    <w:rsid w:val="00D872B0"/>
    <w:rsid w:val="00D948F2"/>
    <w:rsid w:val="00D9697A"/>
    <w:rsid w:val="00DA4C48"/>
    <w:rsid w:val="00DA727D"/>
    <w:rsid w:val="00DB53A7"/>
    <w:rsid w:val="00DC344D"/>
    <w:rsid w:val="00DC7738"/>
    <w:rsid w:val="00DD170F"/>
    <w:rsid w:val="00DD53AB"/>
    <w:rsid w:val="00DE0A8A"/>
    <w:rsid w:val="00DE338A"/>
    <w:rsid w:val="00DF6E54"/>
    <w:rsid w:val="00E04228"/>
    <w:rsid w:val="00E0439D"/>
    <w:rsid w:val="00E04457"/>
    <w:rsid w:val="00E04BBC"/>
    <w:rsid w:val="00E10450"/>
    <w:rsid w:val="00E132FD"/>
    <w:rsid w:val="00E1478E"/>
    <w:rsid w:val="00E155C5"/>
    <w:rsid w:val="00E159D7"/>
    <w:rsid w:val="00E21653"/>
    <w:rsid w:val="00E2414E"/>
    <w:rsid w:val="00E26830"/>
    <w:rsid w:val="00E31A22"/>
    <w:rsid w:val="00E366DD"/>
    <w:rsid w:val="00E40B36"/>
    <w:rsid w:val="00E51672"/>
    <w:rsid w:val="00E55EE5"/>
    <w:rsid w:val="00E625B3"/>
    <w:rsid w:val="00E64743"/>
    <w:rsid w:val="00E7002A"/>
    <w:rsid w:val="00E7257D"/>
    <w:rsid w:val="00E728CB"/>
    <w:rsid w:val="00E7336F"/>
    <w:rsid w:val="00E7485C"/>
    <w:rsid w:val="00E76262"/>
    <w:rsid w:val="00E84A6B"/>
    <w:rsid w:val="00E92385"/>
    <w:rsid w:val="00E95DF9"/>
    <w:rsid w:val="00E96DEA"/>
    <w:rsid w:val="00EA0C5C"/>
    <w:rsid w:val="00EA1585"/>
    <w:rsid w:val="00EA48AE"/>
    <w:rsid w:val="00EB09E2"/>
    <w:rsid w:val="00EB74A5"/>
    <w:rsid w:val="00EC1F55"/>
    <w:rsid w:val="00EE0126"/>
    <w:rsid w:val="00EF2A15"/>
    <w:rsid w:val="00EF5BFD"/>
    <w:rsid w:val="00F01C6F"/>
    <w:rsid w:val="00F06EE2"/>
    <w:rsid w:val="00F074DC"/>
    <w:rsid w:val="00F24F8F"/>
    <w:rsid w:val="00F307E0"/>
    <w:rsid w:val="00F31D9D"/>
    <w:rsid w:val="00F34D63"/>
    <w:rsid w:val="00F4238D"/>
    <w:rsid w:val="00F54CBE"/>
    <w:rsid w:val="00F57F7A"/>
    <w:rsid w:val="00F62D33"/>
    <w:rsid w:val="00F64D59"/>
    <w:rsid w:val="00F6570B"/>
    <w:rsid w:val="00F65F6C"/>
    <w:rsid w:val="00F665E4"/>
    <w:rsid w:val="00F67615"/>
    <w:rsid w:val="00F67F68"/>
    <w:rsid w:val="00F76C98"/>
    <w:rsid w:val="00F804CD"/>
    <w:rsid w:val="00F80750"/>
    <w:rsid w:val="00F85F59"/>
    <w:rsid w:val="00F86717"/>
    <w:rsid w:val="00F86DD4"/>
    <w:rsid w:val="00F86F25"/>
    <w:rsid w:val="00F96804"/>
    <w:rsid w:val="00FA32E5"/>
    <w:rsid w:val="00FA3CEC"/>
    <w:rsid w:val="00FB4CF2"/>
    <w:rsid w:val="00FC4845"/>
    <w:rsid w:val="00FC6B03"/>
    <w:rsid w:val="00FD06D5"/>
    <w:rsid w:val="00FD34E9"/>
    <w:rsid w:val="00FE419E"/>
    <w:rsid w:val="00FF2484"/>
  </w:rsids>
  <m:mathPr>
    <m:mathFont m:val="Cambria Math"/>
    <m:brkBin m:val="before"/>
    <m:brkBinSub m:val="--"/>
    <m:smallFrac m:val="0"/>
    <m:dispDef/>
    <m:lMargin m:val="0"/>
    <m:rMargin m:val="0"/>
    <m:defJc m:val="centerGroup"/>
    <m:wrapIndent m:val="1440"/>
    <m:intLim m:val="subSup"/>
    <m:naryLim m:val="undOvr"/>
  </m:mathPr>
  <w:themeFontLang w:val="en-AU"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D864AA"/>
  <w15:docId w15:val="{5166F04E-C743-4BBA-8877-1D9C82368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Roboto Light" w:eastAsiaTheme="minorHAnsi" w:hAnsi="Roboto Light" w:cstheme="minorBidi"/>
        <w:color w:val="000000"/>
        <w:lang w:val="en-AU" w:eastAsia="en-US" w:bidi="ar-SA"/>
      </w:rPr>
    </w:rPrDefault>
    <w:pPrDefault>
      <w:pPr>
        <w:spacing w:after="120"/>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locked="0" w:semiHidden="1" w:uiPriority="9" w:unhideWhenUsed="1" w:qFormat="1"/>
    <w:lsdException w:name="heading 5" w:locked="0" w:semiHidden="1" w:uiPriority="9"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unhideWhenUsed="1"/>
    <w:lsdException w:name="annotation text" w:semiHidden="1" w:unhideWhenUsed="1"/>
    <w:lsdException w:name="header" w:locked="0" w:unhideWhenUsed="1"/>
    <w:lsdException w:name="footer" w:locked="0"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unhideWhenUsed="1"/>
    <w:lsdException w:name="annotation reference" w:semiHidden="1" w:unhideWhenUsed="1"/>
    <w:lsdException w:name="line number" w:semiHidden="1" w:unhideWhenUsed="1"/>
    <w:lsdException w:name="page number" w:semiHidden="1" w:unhideWhenUsed="1"/>
    <w:lsdException w:name="endnote reference" w:locked="0" w:unhideWhenUsed="1"/>
    <w:lsdException w:name="endnote text" w:locked="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qFormat="1"/>
    <w:lsdException w:name="List Number" w:uiPriority="16" w:qFormat="1"/>
    <w:lsdException w:name="List 2" w:semiHidden="1" w:unhideWhenUsed="1"/>
    <w:lsdException w:name="List 3" w:semiHidden="1" w:unhideWhenUsed="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qFormat="1"/>
    <w:lsdException w:name="List Bullet 5" w:semiHidden="1" w:unhideWhenUsed="1"/>
    <w:lsdException w:name="List Number 2" w:uiPriority="16" w:unhideWhenUsed="1" w:qFormat="1"/>
    <w:lsdException w:name="List Number 3" w:uiPriority="16" w:unhideWhenUsed="1" w:qFormat="1"/>
    <w:lsdException w:name="List Number 4" w:uiPriority="16" w:unhideWhenUsed="1" w:qFormat="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locked="0" w:semiHidden="1" w:unhideWhenUsed="1"/>
    <w:lsdException w:name="Outline List 2" w:locked="0"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unhideWhenUsed="1"/>
    <w:lsdException w:name="No Spacing" w:locked="0"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locked="0"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Content"/>
    <w:qFormat/>
    <w:rsid w:val="009F22A4"/>
  </w:style>
  <w:style w:type="paragraph" w:styleId="Heading1">
    <w:name w:val="heading 1"/>
    <w:basedOn w:val="Normal"/>
    <w:next w:val="Normal"/>
    <w:link w:val="Heading1Char"/>
    <w:uiPriority w:val="9"/>
    <w:unhideWhenUsed/>
    <w:qFormat/>
    <w:rsid w:val="007859C4"/>
    <w:pPr>
      <w:keepNext/>
      <w:keepLines/>
      <w:spacing w:before="480" w:after="240"/>
      <w:outlineLvl w:val="0"/>
    </w:pPr>
    <w:rPr>
      <w:rFonts w:eastAsiaTheme="majorEastAsia" w:cstheme="majorBidi"/>
      <w:bCs/>
      <w:color w:val="000000" w:themeColor="text1"/>
      <w:sz w:val="32"/>
      <w:szCs w:val="28"/>
    </w:rPr>
  </w:style>
  <w:style w:type="paragraph" w:styleId="Heading2">
    <w:name w:val="heading 2"/>
    <w:aliases w:val="Heading 2 (after H1)"/>
    <w:basedOn w:val="Normal"/>
    <w:next w:val="Normal"/>
    <w:link w:val="Heading2Char"/>
    <w:uiPriority w:val="9"/>
    <w:unhideWhenUsed/>
    <w:qFormat/>
    <w:rsid w:val="009F22A4"/>
    <w:pPr>
      <w:keepNext/>
      <w:keepLines/>
      <w:numPr>
        <w:ilvl w:val="1"/>
        <w:numId w:val="42"/>
      </w:numPr>
      <w:spacing w:before="360"/>
      <w:outlineLvl w:val="1"/>
    </w:pPr>
    <w:rPr>
      <w:rFonts w:ascii="Roboto Medium" w:eastAsiaTheme="majorEastAsia" w:hAnsi="Roboto Medium" w:cstheme="majorBidi"/>
      <w:bCs/>
      <w:color w:val="000000" w:themeColor="text1"/>
      <w:sz w:val="24"/>
      <w:szCs w:val="26"/>
    </w:rPr>
  </w:style>
  <w:style w:type="paragraph" w:styleId="Heading3">
    <w:name w:val="heading 3"/>
    <w:basedOn w:val="Normal"/>
    <w:next w:val="Normal"/>
    <w:link w:val="Heading3Char"/>
    <w:uiPriority w:val="9"/>
    <w:qFormat/>
    <w:rsid w:val="007D2E34"/>
    <w:pPr>
      <w:keepNext/>
      <w:keepLines/>
      <w:numPr>
        <w:ilvl w:val="2"/>
        <w:numId w:val="42"/>
      </w:numPr>
      <w:spacing w:before="240"/>
      <w:outlineLvl w:val="2"/>
    </w:pPr>
    <w:rPr>
      <w:rFonts w:asciiTheme="majorHAnsi" w:eastAsiaTheme="majorEastAsia" w:hAnsiTheme="majorHAnsi" w:cstheme="majorBidi"/>
      <w:bCs/>
      <w:color w:val="000000" w:themeColor="text1"/>
    </w:rPr>
  </w:style>
  <w:style w:type="paragraph" w:styleId="Heading4">
    <w:name w:val="heading 4"/>
    <w:basedOn w:val="Normal"/>
    <w:next w:val="Normal"/>
    <w:link w:val="Heading4Char"/>
    <w:uiPriority w:val="9"/>
    <w:qFormat/>
    <w:rsid w:val="007D2E34"/>
    <w:pPr>
      <w:keepNext/>
      <w:keepLines/>
      <w:numPr>
        <w:ilvl w:val="3"/>
        <w:numId w:val="42"/>
      </w:numPr>
      <w:spacing w:before="240"/>
      <w:outlineLvl w:val="3"/>
    </w:pPr>
    <w:rPr>
      <w:rFonts w:asciiTheme="majorHAnsi" w:eastAsiaTheme="majorEastAsia" w:hAnsiTheme="majorHAnsi" w:cstheme="majorBidi"/>
      <w:bCs/>
      <w:iCs/>
      <w:color w:val="000000" w:themeColor="text1"/>
    </w:rPr>
  </w:style>
  <w:style w:type="paragraph" w:styleId="Heading5">
    <w:name w:val="heading 5"/>
    <w:basedOn w:val="Normal"/>
    <w:next w:val="Normal"/>
    <w:link w:val="Heading5Char"/>
    <w:uiPriority w:val="9"/>
    <w:qFormat/>
    <w:rsid w:val="001F7277"/>
    <w:pPr>
      <w:keepNext/>
      <w:keepLines/>
      <w:numPr>
        <w:ilvl w:val="4"/>
        <w:numId w:val="42"/>
      </w:numPr>
      <w:spacing w:before="24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qFormat/>
    <w:rsid w:val="001C1E92"/>
    <w:pPr>
      <w:keepNext/>
      <w:keepLines/>
      <w:spacing w:before="200" w:after="0"/>
      <w:outlineLvl w:val="5"/>
    </w:pPr>
    <w:rPr>
      <w:rFonts w:asciiTheme="majorHAnsi" w:eastAsiaTheme="majorEastAsia" w:hAnsiTheme="majorHAnsi" w:cstheme="majorBidi"/>
      <w:iCs/>
    </w:rPr>
  </w:style>
  <w:style w:type="paragraph" w:styleId="Heading7">
    <w:name w:val="heading 7"/>
    <w:basedOn w:val="Normal"/>
    <w:next w:val="Normal"/>
    <w:link w:val="Heading7Char"/>
    <w:uiPriority w:val="9"/>
    <w:semiHidden/>
    <w:qFormat/>
    <w:rsid w:val="001C1E92"/>
    <w:pPr>
      <w:keepNext/>
      <w:keepLines/>
      <w:spacing w:before="200" w:after="0"/>
      <w:outlineLvl w:val="6"/>
    </w:pPr>
    <w:rPr>
      <w:rFonts w:asciiTheme="majorHAnsi" w:eastAsiaTheme="majorEastAsia" w:hAnsiTheme="majorHAnsi" w:cstheme="majorBidi"/>
      <w:iCs/>
    </w:rPr>
  </w:style>
  <w:style w:type="paragraph" w:styleId="Heading8">
    <w:name w:val="heading 8"/>
    <w:basedOn w:val="Normal"/>
    <w:next w:val="Normal"/>
    <w:link w:val="Heading8Char"/>
    <w:uiPriority w:val="9"/>
    <w:semiHidden/>
    <w:qFormat/>
    <w:rsid w:val="00072B30"/>
    <w:pPr>
      <w:keepNext/>
      <w:keepLines/>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qFormat/>
    <w:rsid w:val="00072B30"/>
    <w:pPr>
      <w:keepNext/>
      <w:keepLines/>
      <w:spacing w:before="200" w:after="0"/>
      <w:outlineLvl w:val="8"/>
    </w:pPr>
    <w:rPr>
      <w:rFonts w:asciiTheme="majorHAnsi" w:eastAsiaTheme="majorEastAsia" w:hAnsiTheme="majorHAnsi" w:cstheme="majorBid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AA0"/>
    <w:rPr>
      <w:rFonts w:eastAsiaTheme="majorEastAsia" w:cstheme="majorBidi"/>
      <w:bCs/>
      <w:color w:val="000000" w:themeColor="text1"/>
      <w:sz w:val="32"/>
      <w:szCs w:val="28"/>
    </w:rPr>
  </w:style>
  <w:style w:type="character" w:customStyle="1" w:styleId="Heading2Char">
    <w:name w:val="Heading 2 Char"/>
    <w:aliases w:val="Heading 2 (after H1) Char"/>
    <w:basedOn w:val="DefaultParagraphFont"/>
    <w:link w:val="Heading2"/>
    <w:uiPriority w:val="9"/>
    <w:rsid w:val="009F22A4"/>
    <w:rPr>
      <w:rFonts w:ascii="Roboto Medium" w:eastAsiaTheme="majorEastAsia" w:hAnsi="Roboto Medium" w:cstheme="majorBidi"/>
      <w:bCs/>
      <w:color w:val="000000" w:themeColor="text1"/>
      <w:sz w:val="24"/>
      <w:szCs w:val="26"/>
    </w:rPr>
  </w:style>
  <w:style w:type="character" w:customStyle="1" w:styleId="Heading3Char">
    <w:name w:val="Heading 3 Char"/>
    <w:basedOn w:val="DefaultParagraphFont"/>
    <w:link w:val="Heading3"/>
    <w:uiPriority w:val="9"/>
    <w:rsid w:val="007D2E34"/>
    <w:rPr>
      <w:rFonts w:asciiTheme="majorHAnsi" w:eastAsiaTheme="majorEastAsia" w:hAnsiTheme="majorHAnsi" w:cstheme="majorBidi"/>
      <w:bCs/>
      <w:color w:val="000000" w:themeColor="text1"/>
    </w:rPr>
  </w:style>
  <w:style w:type="paragraph" w:customStyle="1" w:styleId="CoverSubtitle">
    <w:name w:val="Cover Subtitle"/>
    <w:basedOn w:val="Normal"/>
    <w:next w:val="Normal"/>
    <w:uiPriority w:val="21"/>
    <w:rsid w:val="00F67F68"/>
    <w:pPr>
      <w:spacing w:after="0"/>
      <w:ind w:left="567" w:right="-170"/>
      <w:jc w:val="right"/>
    </w:pPr>
    <w:rPr>
      <w:rFonts w:ascii="Roboto Medium" w:hAnsi="Roboto Medium"/>
      <w:color w:val="FFFFFF" w:themeColor="background1"/>
      <w:sz w:val="44"/>
    </w:rPr>
  </w:style>
  <w:style w:type="paragraph" w:customStyle="1" w:styleId="SubHeading">
    <w:name w:val="Sub Heading"/>
    <w:basedOn w:val="Normal"/>
    <w:next w:val="Normal"/>
    <w:uiPriority w:val="9"/>
    <w:qFormat/>
    <w:rsid w:val="00F31D9D"/>
    <w:pPr>
      <w:keepNext/>
      <w:keepLines/>
      <w:spacing w:before="240" w:after="0"/>
    </w:pPr>
    <w:rPr>
      <w:rFonts w:ascii="Roboto Medium" w:hAnsi="Roboto Medium"/>
      <w:color w:val="000000" w:themeColor="text1"/>
    </w:rPr>
  </w:style>
  <w:style w:type="character" w:customStyle="1" w:styleId="Heading4Char">
    <w:name w:val="Heading 4 Char"/>
    <w:basedOn w:val="DefaultParagraphFont"/>
    <w:link w:val="Heading4"/>
    <w:uiPriority w:val="9"/>
    <w:rsid w:val="007D2E34"/>
    <w:rPr>
      <w:rFonts w:asciiTheme="majorHAnsi" w:eastAsiaTheme="majorEastAsia" w:hAnsiTheme="majorHAnsi" w:cstheme="majorBidi"/>
      <w:bCs/>
      <w:iCs/>
      <w:color w:val="000000" w:themeColor="text1"/>
    </w:rPr>
  </w:style>
  <w:style w:type="paragraph" w:styleId="ListBullet">
    <w:name w:val="List Bullet"/>
    <w:basedOn w:val="Normal"/>
    <w:link w:val="ListBulletChar"/>
    <w:uiPriority w:val="99"/>
    <w:unhideWhenUsed/>
    <w:qFormat/>
    <w:locked/>
    <w:rsid w:val="00B2646F"/>
    <w:pPr>
      <w:numPr>
        <w:numId w:val="3"/>
      </w:numPr>
      <w:contextualSpacing/>
    </w:pPr>
  </w:style>
  <w:style w:type="paragraph" w:styleId="ListBullet2">
    <w:name w:val="List Bullet 2"/>
    <w:basedOn w:val="Normal"/>
    <w:link w:val="ListBullet2Char"/>
    <w:uiPriority w:val="16"/>
    <w:qFormat/>
    <w:rsid w:val="002439E1"/>
    <w:pPr>
      <w:numPr>
        <w:ilvl w:val="1"/>
        <w:numId w:val="38"/>
      </w:numPr>
      <w:spacing w:before="120"/>
    </w:pPr>
    <w:rPr>
      <w:color w:val="000000" w:themeColor="text1"/>
    </w:rPr>
  </w:style>
  <w:style w:type="paragraph" w:styleId="ListNumber">
    <w:name w:val="List Number"/>
    <w:basedOn w:val="Normal"/>
    <w:uiPriority w:val="16"/>
    <w:qFormat/>
    <w:rsid w:val="002439E1"/>
    <w:pPr>
      <w:numPr>
        <w:ilvl w:val="1"/>
      </w:numPr>
      <w:spacing w:before="120"/>
    </w:pPr>
  </w:style>
  <w:style w:type="paragraph" w:styleId="ListNumber2">
    <w:name w:val="List Number 2"/>
    <w:basedOn w:val="Normal"/>
    <w:uiPriority w:val="16"/>
    <w:qFormat/>
    <w:rsid w:val="002439E1"/>
    <w:pPr>
      <w:numPr>
        <w:ilvl w:val="2"/>
      </w:numPr>
      <w:spacing w:before="120"/>
    </w:pPr>
  </w:style>
  <w:style w:type="numbering" w:customStyle="1" w:styleId="Lists">
    <w:name w:val="Lists"/>
    <w:uiPriority w:val="99"/>
    <w:rsid w:val="00C05687"/>
    <w:pPr>
      <w:numPr>
        <w:numId w:val="10"/>
      </w:numPr>
    </w:pPr>
  </w:style>
  <w:style w:type="paragraph" w:styleId="ListNumber3">
    <w:name w:val="List Number 3"/>
    <w:basedOn w:val="Normal"/>
    <w:uiPriority w:val="16"/>
    <w:qFormat/>
    <w:rsid w:val="002439E1"/>
    <w:pPr>
      <w:numPr>
        <w:ilvl w:val="3"/>
      </w:numPr>
      <w:spacing w:before="120"/>
    </w:pPr>
  </w:style>
  <w:style w:type="paragraph" w:styleId="Title">
    <w:name w:val="Title"/>
    <w:basedOn w:val="Normal"/>
    <w:next w:val="CoverSubtitle"/>
    <w:link w:val="TitleChar"/>
    <w:uiPriority w:val="10"/>
    <w:qFormat/>
    <w:rsid w:val="00F67F68"/>
    <w:pPr>
      <w:spacing w:before="5560"/>
      <w:ind w:left="567" w:right="-170"/>
      <w:jc w:val="right"/>
    </w:pPr>
    <w:rPr>
      <w:rFonts w:ascii="Roboto Medium" w:eastAsiaTheme="majorEastAsia" w:hAnsi="Roboto Medium" w:cstheme="majorBidi"/>
      <w:color w:val="FFFFFF" w:themeColor="background1"/>
      <w:sz w:val="120"/>
      <w:szCs w:val="52"/>
    </w:rPr>
  </w:style>
  <w:style w:type="character" w:customStyle="1" w:styleId="TitleChar">
    <w:name w:val="Title Char"/>
    <w:basedOn w:val="DefaultParagraphFont"/>
    <w:link w:val="Title"/>
    <w:uiPriority w:val="10"/>
    <w:rsid w:val="00F67F68"/>
    <w:rPr>
      <w:rFonts w:ascii="Roboto Medium" w:eastAsiaTheme="majorEastAsia" w:hAnsi="Roboto Medium" w:cstheme="majorBidi"/>
      <w:color w:val="FFFFFF" w:themeColor="background1"/>
      <w:sz w:val="120"/>
      <w:szCs w:val="52"/>
    </w:rPr>
  </w:style>
  <w:style w:type="paragraph" w:styleId="TOC1">
    <w:name w:val="toc 1"/>
    <w:basedOn w:val="Normal"/>
    <w:next w:val="Normal"/>
    <w:autoRedefine/>
    <w:uiPriority w:val="39"/>
    <w:rsid w:val="00521D3D"/>
    <w:pPr>
      <w:tabs>
        <w:tab w:val="right" w:pos="9072"/>
      </w:tabs>
      <w:spacing w:before="400"/>
      <w:contextualSpacing/>
    </w:pPr>
    <w:rPr>
      <w:rFonts w:ascii="Roboto Medium" w:hAnsi="Roboto Medium"/>
    </w:rPr>
  </w:style>
  <w:style w:type="paragraph" w:styleId="TOCHeading">
    <w:name w:val="TOC Heading"/>
    <w:basedOn w:val="Heading1"/>
    <w:next w:val="Normal"/>
    <w:uiPriority w:val="39"/>
    <w:qFormat/>
    <w:rsid w:val="005A7D28"/>
    <w:pPr>
      <w:spacing w:after="720"/>
      <w:outlineLvl w:val="9"/>
    </w:pPr>
  </w:style>
  <w:style w:type="paragraph" w:styleId="Footer">
    <w:name w:val="footer"/>
    <w:basedOn w:val="Normal"/>
    <w:link w:val="FooterChar"/>
    <w:uiPriority w:val="99"/>
    <w:rsid w:val="00681892"/>
    <w:pPr>
      <w:tabs>
        <w:tab w:val="right" w:pos="9639"/>
      </w:tabs>
      <w:spacing w:before="480" w:after="0"/>
      <w:ind w:right="1134"/>
      <w:contextualSpacing/>
    </w:pPr>
    <w:rPr>
      <w:rFonts w:asciiTheme="majorHAnsi" w:hAnsiTheme="majorHAnsi"/>
      <w:sz w:val="16"/>
    </w:rPr>
  </w:style>
  <w:style w:type="character" w:customStyle="1" w:styleId="FooterChar">
    <w:name w:val="Footer Char"/>
    <w:basedOn w:val="DefaultParagraphFont"/>
    <w:link w:val="Footer"/>
    <w:uiPriority w:val="99"/>
    <w:rsid w:val="00681892"/>
    <w:rPr>
      <w:rFonts w:asciiTheme="majorHAnsi" w:hAnsiTheme="majorHAnsi"/>
      <w:sz w:val="16"/>
    </w:rPr>
  </w:style>
  <w:style w:type="paragraph" w:styleId="ListBullet3">
    <w:name w:val="List Bullet 3"/>
    <w:basedOn w:val="Normal"/>
    <w:uiPriority w:val="16"/>
    <w:qFormat/>
    <w:rsid w:val="002439E1"/>
    <w:pPr>
      <w:numPr>
        <w:ilvl w:val="2"/>
        <w:numId w:val="38"/>
      </w:numPr>
      <w:spacing w:before="120"/>
    </w:pPr>
    <w:rPr>
      <w:color w:val="000000" w:themeColor="text1"/>
    </w:rPr>
  </w:style>
  <w:style w:type="table" w:styleId="TableGrid">
    <w:name w:val="Table Grid"/>
    <w:basedOn w:val="TableNormal"/>
    <w:uiPriority w:val="59"/>
    <w:rsid w:val="00C371C4"/>
    <w:pPr>
      <w:spacing w:after="0"/>
    </w:pPr>
    <w:tblPr>
      <w:tblStyleRowBandSize w:val="1"/>
      <w:tblStyleColBandSize w:val="1"/>
      <w:tblBorders>
        <w:top w:val="single" w:sz="4" w:space="0" w:color="989C9E"/>
        <w:left w:val="single" w:sz="4" w:space="0" w:color="989C9E"/>
        <w:bottom w:val="single" w:sz="4" w:space="0" w:color="989C9E"/>
        <w:right w:val="single" w:sz="4" w:space="0" w:color="989C9E"/>
        <w:insideH w:val="single" w:sz="4" w:space="0" w:color="989C9E"/>
        <w:insideV w:val="single" w:sz="4" w:space="0" w:color="989C9E"/>
      </w:tblBorders>
      <w:tblCellMar>
        <w:top w:w="57" w:type="dxa"/>
        <w:bottom w:w="57" w:type="dxa"/>
      </w:tblCellMar>
    </w:tblPr>
    <w:tcPr>
      <w:shd w:val="clear" w:color="auto" w:fill="auto"/>
    </w:tcPr>
    <w:tblStylePr w:type="firstRow">
      <w:rPr>
        <w:rFonts w:asciiTheme="minorHAnsi" w:hAnsiTheme="minorHAnsi"/>
        <w:b w:val="0"/>
        <w:caps w:val="0"/>
        <w:smallCaps w:val="0"/>
        <w:sz w:val="20"/>
      </w:rPr>
    </w:tblStylePr>
    <w:tblStylePr w:type="lastRow">
      <w:rPr>
        <w:rFonts w:asciiTheme="majorHAnsi" w:hAnsiTheme="majorHAnsi"/>
        <w:b w:val="0"/>
        <w:color w:val="auto"/>
      </w:rPr>
    </w:tblStylePr>
    <w:tblStylePr w:type="firstCol">
      <w:rPr>
        <w:rFonts w:asciiTheme="minorHAnsi" w:hAnsiTheme="minorHAnsi"/>
        <w:sz w:val="20"/>
      </w:rPr>
    </w:tblStylePr>
  </w:style>
  <w:style w:type="paragraph" w:styleId="Caption">
    <w:name w:val="caption"/>
    <w:next w:val="Normal"/>
    <w:uiPriority w:val="35"/>
    <w:qFormat/>
    <w:rsid w:val="00AC6C84"/>
    <w:pPr>
      <w:spacing w:before="60" w:after="360"/>
    </w:pPr>
    <w:rPr>
      <w:bCs/>
      <w:sz w:val="16"/>
      <w:szCs w:val="18"/>
    </w:rPr>
  </w:style>
  <w:style w:type="paragraph" w:styleId="Header">
    <w:name w:val="header"/>
    <w:basedOn w:val="Normal"/>
    <w:link w:val="HeaderChar"/>
    <w:uiPriority w:val="99"/>
    <w:rsid w:val="0024336B"/>
    <w:pPr>
      <w:tabs>
        <w:tab w:val="center" w:pos="4513"/>
        <w:tab w:val="right" w:pos="9026"/>
      </w:tabs>
      <w:spacing w:after="0"/>
    </w:pPr>
    <w:rPr>
      <w:sz w:val="16"/>
    </w:rPr>
  </w:style>
  <w:style w:type="character" w:customStyle="1" w:styleId="HeaderChar">
    <w:name w:val="Header Char"/>
    <w:basedOn w:val="DefaultParagraphFont"/>
    <w:link w:val="Header"/>
    <w:uiPriority w:val="99"/>
    <w:rsid w:val="00AE7B98"/>
    <w:rPr>
      <w:sz w:val="16"/>
    </w:rPr>
  </w:style>
  <w:style w:type="paragraph" w:styleId="BalloonText">
    <w:name w:val="Balloon Text"/>
    <w:basedOn w:val="Normal"/>
    <w:link w:val="BalloonTextChar"/>
    <w:uiPriority w:val="99"/>
    <w:semiHidden/>
    <w:unhideWhenUsed/>
    <w:locked/>
    <w:rsid w:val="00C636D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36DA"/>
    <w:rPr>
      <w:rFonts w:ascii="Tahoma" w:hAnsi="Tahoma" w:cs="Tahoma"/>
      <w:noProof w:val="0"/>
      <w:sz w:val="16"/>
      <w:szCs w:val="16"/>
      <w:lang w:val="en-AU"/>
    </w:rPr>
  </w:style>
  <w:style w:type="paragraph" w:customStyle="1" w:styleId="SAABullet2">
    <w:name w:val="SAA Bullet 2"/>
    <w:basedOn w:val="ListBullet"/>
    <w:link w:val="SAABullet2Char"/>
    <w:qFormat/>
    <w:rsid w:val="00B2646F"/>
    <w:pPr>
      <w:numPr>
        <w:numId w:val="56"/>
      </w:numPr>
      <w:spacing w:before="120"/>
      <w:ind w:left="714" w:hanging="357"/>
      <w:contextualSpacing w:val="0"/>
    </w:pPr>
  </w:style>
  <w:style w:type="paragraph" w:styleId="ListNumber4">
    <w:name w:val="List Number 4"/>
    <w:basedOn w:val="Normal"/>
    <w:uiPriority w:val="16"/>
    <w:qFormat/>
    <w:rsid w:val="002439E1"/>
    <w:pPr>
      <w:numPr>
        <w:ilvl w:val="4"/>
      </w:numPr>
      <w:spacing w:before="120"/>
      <w:ind w:left="1434" w:hanging="357"/>
    </w:pPr>
  </w:style>
  <w:style w:type="character" w:styleId="Hyperlink">
    <w:name w:val="Hyperlink"/>
    <w:basedOn w:val="DefaultParagraphFont"/>
    <w:uiPriority w:val="99"/>
    <w:rsid w:val="006427FE"/>
    <w:rPr>
      <w:noProof w:val="0"/>
      <w:color w:val="0000FF" w:themeColor="hyperlink"/>
      <w:u w:val="single"/>
      <w:lang w:val="en-AU"/>
    </w:rPr>
  </w:style>
  <w:style w:type="paragraph" w:styleId="Bibliography">
    <w:name w:val="Bibliography"/>
    <w:basedOn w:val="Normal"/>
    <w:next w:val="Normal"/>
    <w:uiPriority w:val="37"/>
    <w:semiHidden/>
    <w:unhideWhenUsed/>
    <w:locked/>
    <w:rsid w:val="00F80750"/>
  </w:style>
  <w:style w:type="paragraph" w:styleId="BlockText">
    <w:name w:val="Block Text"/>
    <w:basedOn w:val="Normal"/>
    <w:uiPriority w:val="99"/>
    <w:semiHidden/>
    <w:unhideWhenUsed/>
    <w:locked/>
    <w:rsid w:val="00F80750"/>
    <w:pPr>
      <w:pBdr>
        <w:top w:val="single" w:sz="2" w:space="10" w:color="FF6319" w:themeColor="accent1"/>
        <w:left w:val="single" w:sz="2" w:space="10" w:color="FF6319" w:themeColor="accent1"/>
        <w:bottom w:val="single" w:sz="2" w:space="10" w:color="FF6319" w:themeColor="accent1"/>
        <w:right w:val="single" w:sz="2" w:space="10" w:color="FF6319" w:themeColor="accent1"/>
      </w:pBdr>
      <w:ind w:left="1152" w:right="1152"/>
    </w:pPr>
    <w:rPr>
      <w:rFonts w:asciiTheme="minorHAnsi" w:eastAsiaTheme="minorEastAsia" w:hAnsiTheme="minorHAnsi"/>
      <w:i/>
      <w:iCs/>
      <w:color w:val="FF6319" w:themeColor="accent1"/>
    </w:rPr>
  </w:style>
  <w:style w:type="paragraph" w:styleId="BodyText">
    <w:name w:val="Body Text"/>
    <w:basedOn w:val="Normal"/>
    <w:link w:val="BodyTextChar"/>
    <w:uiPriority w:val="99"/>
    <w:semiHidden/>
    <w:unhideWhenUsed/>
    <w:locked/>
    <w:rsid w:val="00F80750"/>
  </w:style>
  <w:style w:type="character" w:customStyle="1" w:styleId="BodyTextChar">
    <w:name w:val="Body Text Char"/>
    <w:basedOn w:val="DefaultParagraphFont"/>
    <w:link w:val="BodyText"/>
    <w:uiPriority w:val="99"/>
    <w:semiHidden/>
    <w:rsid w:val="00F80750"/>
    <w:rPr>
      <w:noProof w:val="0"/>
      <w:lang w:val="en-AU"/>
    </w:rPr>
  </w:style>
  <w:style w:type="paragraph" w:styleId="BodyText2">
    <w:name w:val="Body Text 2"/>
    <w:basedOn w:val="Normal"/>
    <w:link w:val="BodyText2Char"/>
    <w:uiPriority w:val="99"/>
    <w:semiHidden/>
    <w:unhideWhenUsed/>
    <w:locked/>
    <w:rsid w:val="00F80750"/>
    <w:pPr>
      <w:spacing w:line="480" w:lineRule="auto"/>
    </w:pPr>
  </w:style>
  <w:style w:type="character" w:customStyle="1" w:styleId="BodyText2Char">
    <w:name w:val="Body Text 2 Char"/>
    <w:basedOn w:val="DefaultParagraphFont"/>
    <w:link w:val="BodyText2"/>
    <w:uiPriority w:val="99"/>
    <w:semiHidden/>
    <w:rsid w:val="00F80750"/>
    <w:rPr>
      <w:noProof w:val="0"/>
      <w:lang w:val="en-AU"/>
    </w:rPr>
  </w:style>
  <w:style w:type="paragraph" w:styleId="BodyText3">
    <w:name w:val="Body Text 3"/>
    <w:basedOn w:val="Normal"/>
    <w:link w:val="BodyText3Char"/>
    <w:uiPriority w:val="99"/>
    <w:semiHidden/>
    <w:unhideWhenUsed/>
    <w:locked/>
    <w:rsid w:val="00F80750"/>
    <w:rPr>
      <w:sz w:val="16"/>
      <w:szCs w:val="16"/>
    </w:rPr>
  </w:style>
  <w:style w:type="character" w:customStyle="1" w:styleId="BodyText3Char">
    <w:name w:val="Body Text 3 Char"/>
    <w:basedOn w:val="DefaultParagraphFont"/>
    <w:link w:val="BodyText3"/>
    <w:uiPriority w:val="99"/>
    <w:semiHidden/>
    <w:rsid w:val="00F80750"/>
    <w:rPr>
      <w:noProof w:val="0"/>
      <w:sz w:val="16"/>
      <w:szCs w:val="16"/>
      <w:lang w:val="en-AU"/>
    </w:rPr>
  </w:style>
  <w:style w:type="paragraph" w:styleId="BodyTextFirstIndent">
    <w:name w:val="Body Text First Indent"/>
    <w:basedOn w:val="BodyText"/>
    <w:link w:val="BodyTextFirstIndentChar"/>
    <w:uiPriority w:val="99"/>
    <w:semiHidden/>
    <w:unhideWhenUsed/>
    <w:locked/>
    <w:rsid w:val="00F80750"/>
    <w:pPr>
      <w:spacing w:after="170"/>
      <w:ind w:firstLine="360"/>
    </w:pPr>
  </w:style>
  <w:style w:type="character" w:customStyle="1" w:styleId="BodyTextFirstIndentChar">
    <w:name w:val="Body Text First Indent Char"/>
    <w:basedOn w:val="BodyTextChar"/>
    <w:link w:val="BodyTextFirstIndent"/>
    <w:uiPriority w:val="99"/>
    <w:semiHidden/>
    <w:rsid w:val="00F80750"/>
    <w:rPr>
      <w:noProof w:val="0"/>
      <w:lang w:val="en-AU"/>
    </w:rPr>
  </w:style>
  <w:style w:type="paragraph" w:styleId="BodyTextIndent">
    <w:name w:val="Body Text Indent"/>
    <w:basedOn w:val="Normal"/>
    <w:link w:val="BodyTextIndentChar"/>
    <w:uiPriority w:val="99"/>
    <w:semiHidden/>
    <w:unhideWhenUsed/>
    <w:locked/>
    <w:rsid w:val="00F80750"/>
    <w:pPr>
      <w:ind w:left="283"/>
    </w:pPr>
  </w:style>
  <w:style w:type="character" w:customStyle="1" w:styleId="BodyTextIndentChar">
    <w:name w:val="Body Text Indent Char"/>
    <w:basedOn w:val="DefaultParagraphFont"/>
    <w:link w:val="BodyTextIndent"/>
    <w:uiPriority w:val="99"/>
    <w:semiHidden/>
    <w:rsid w:val="00F80750"/>
    <w:rPr>
      <w:noProof w:val="0"/>
      <w:lang w:val="en-AU"/>
    </w:rPr>
  </w:style>
  <w:style w:type="paragraph" w:styleId="BodyTextFirstIndent2">
    <w:name w:val="Body Text First Indent 2"/>
    <w:basedOn w:val="BodyTextIndent"/>
    <w:link w:val="BodyTextFirstIndent2Char"/>
    <w:uiPriority w:val="99"/>
    <w:semiHidden/>
    <w:unhideWhenUsed/>
    <w:locked/>
    <w:rsid w:val="00F80750"/>
    <w:pPr>
      <w:spacing w:after="170"/>
      <w:ind w:left="360" w:firstLine="360"/>
    </w:pPr>
  </w:style>
  <w:style w:type="character" w:customStyle="1" w:styleId="BodyTextFirstIndent2Char">
    <w:name w:val="Body Text First Indent 2 Char"/>
    <w:basedOn w:val="BodyTextIndentChar"/>
    <w:link w:val="BodyTextFirstIndent2"/>
    <w:uiPriority w:val="99"/>
    <w:semiHidden/>
    <w:rsid w:val="00F80750"/>
    <w:rPr>
      <w:noProof w:val="0"/>
      <w:lang w:val="en-AU"/>
    </w:rPr>
  </w:style>
  <w:style w:type="paragraph" w:styleId="BodyTextIndent2">
    <w:name w:val="Body Text Indent 2"/>
    <w:basedOn w:val="Normal"/>
    <w:link w:val="BodyTextIndent2Char"/>
    <w:uiPriority w:val="99"/>
    <w:semiHidden/>
    <w:unhideWhenUsed/>
    <w:locked/>
    <w:rsid w:val="00F80750"/>
    <w:pPr>
      <w:spacing w:line="480" w:lineRule="auto"/>
      <w:ind w:left="283"/>
    </w:pPr>
  </w:style>
  <w:style w:type="character" w:customStyle="1" w:styleId="BodyTextIndent2Char">
    <w:name w:val="Body Text Indent 2 Char"/>
    <w:basedOn w:val="DefaultParagraphFont"/>
    <w:link w:val="BodyTextIndent2"/>
    <w:uiPriority w:val="99"/>
    <w:semiHidden/>
    <w:rsid w:val="00F80750"/>
    <w:rPr>
      <w:noProof w:val="0"/>
      <w:lang w:val="en-AU"/>
    </w:rPr>
  </w:style>
  <w:style w:type="paragraph" w:styleId="BodyTextIndent3">
    <w:name w:val="Body Text Indent 3"/>
    <w:basedOn w:val="Normal"/>
    <w:link w:val="BodyTextIndent3Char"/>
    <w:uiPriority w:val="99"/>
    <w:semiHidden/>
    <w:unhideWhenUsed/>
    <w:locked/>
    <w:rsid w:val="00F80750"/>
    <w:pPr>
      <w:ind w:left="283"/>
    </w:pPr>
    <w:rPr>
      <w:sz w:val="16"/>
      <w:szCs w:val="16"/>
    </w:rPr>
  </w:style>
  <w:style w:type="character" w:customStyle="1" w:styleId="BodyTextIndent3Char">
    <w:name w:val="Body Text Indent 3 Char"/>
    <w:basedOn w:val="DefaultParagraphFont"/>
    <w:link w:val="BodyTextIndent3"/>
    <w:uiPriority w:val="99"/>
    <w:semiHidden/>
    <w:rsid w:val="00F80750"/>
    <w:rPr>
      <w:noProof w:val="0"/>
      <w:sz w:val="16"/>
      <w:szCs w:val="16"/>
      <w:lang w:val="en-AU"/>
    </w:rPr>
  </w:style>
  <w:style w:type="character" w:styleId="BookTitle">
    <w:name w:val="Book Title"/>
    <w:basedOn w:val="DefaultParagraphFont"/>
    <w:uiPriority w:val="33"/>
    <w:qFormat/>
    <w:locked/>
    <w:rsid w:val="00F80750"/>
    <w:rPr>
      <w:b/>
      <w:bCs/>
      <w:smallCaps/>
      <w:noProof w:val="0"/>
      <w:spacing w:val="5"/>
      <w:lang w:val="en-AU"/>
    </w:rPr>
  </w:style>
  <w:style w:type="paragraph" w:styleId="Closing">
    <w:name w:val="Closing"/>
    <w:basedOn w:val="Normal"/>
    <w:link w:val="ClosingChar"/>
    <w:uiPriority w:val="99"/>
    <w:semiHidden/>
    <w:unhideWhenUsed/>
    <w:locked/>
    <w:rsid w:val="00F80750"/>
    <w:pPr>
      <w:spacing w:after="0"/>
      <w:ind w:left="4252"/>
    </w:pPr>
  </w:style>
  <w:style w:type="character" w:customStyle="1" w:styleId="ClosingChar">
    <w:name w:val="Closing Char"/>
    <w:basedOn w:val="DefaultParagraphFont"/>
    <w:link w:val="Closing"/>
    <w:uiPriority w:val="99"/>
    <w:semiHidden/>
    <w:rsid w:val="00F80750"/>
    <w:rPr>
      <w:noProof w:val="0"/>
      <w:lang w:val="en-AU"/>
    </w:rPr>
  </w:style>
  <w:style w:type="table" w:styleId="ColorfulGrid">
    <w:name w:val="Colorful Grid"/>
    <w:basedOn w:val="TableNormal"/>
    <w:uiPriority w:val="73"/>
    <w:locked/>
    <w:rsid w:val="00F80750"/>
    <w:pPr>
      <w:spacing w:after="0"/>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locked/>
    <w:rsid w:val="00F80750"/>
    <w:pPr>
      <w:spacing w:after="0"/>
    </w:pPr>
    <w:tblPr>
      <w:tblStyleRowBandSize w:val="1"/>
      <w:tblStyleColBandSize w:val="1"/>
      <w:tblBorders>
        <w:insideH w:val="single" w:sz="4" w:space="0" w:color="FFFFFF" w:themeColor="background1"/>
      </w:tblBorders>
    </w:tblPr>
    <w:tcPr>
      <w:shd w:val="clear" w:color="auto" w:fill="FFDFD1" w:themeFill="accent1" w:themeFillTint="33"/>
    </w:tcPr>
    <w:tblStylePr w:type="firstRow">
      <w:rPr>
        <w:b/>
        <w:bCs/>
      </w:rPr>
      <w:tblPr/>
      <w:tcPr>
        <w:shd w:val="clear" w:color="auto" w:fill="FFC0A3" w:themeFill="accent1" w:themeFillTint="66"/>
      </w:tcPr>
    </w:tblStylePr>
    <w:tblStylePr w:type="lastRow">
      <w:rPr>
        <w:b/>
        <w:bCs/>
        <w:color w:val="000000" w:themeColor="text1"/>
      </w:rPr>
      <w:tblPr/>
      <w:tcPr>
        <w:shd w:val="clear" w:color="auto" w:fill="FFC0A3" w:themeFill="accent1" w:themeFillTint="66"/>
      </w:tcPr>
    </w:tblStylePr>
    <w:tblStylePr w:type="firstCol">
      <w:rPr>
        <w:color w:val="FFFFFF" w:themeColor="background1"/>
      </w:rPr>
      <w:tblPr/>
      <w:tcPr>
        <w:shd w:val="clear" w:color="auto" w:fill="D14300" w:themeFill="accent1" w:themeFillShade="BF"/>
      </w:tcPr>
    </w:tblStylePr>
    <w:tblStylePr w:type="lastCol">
      <w:rPr>
        <w:color w:val="FFFFFF" w:themeColor="background1"/>
      </w:rPr>
      <w:tblPr/>
      <w:tcPr>
        <w:shd w:val="clear" w:color="auto" w:fill="D14300" w:themeFill="accent1" w:themeFillShade="BF"/>
      </w:tcPr>
    </w:tblStylePr>
    <w:tblStylePr w:type="band1Vert">
      <w:tblPr/>
      <w:tcPr>
        <w:shd w:val="clear" w:color="auto" w:fill="FFB18C" w:themeFill="accent1" w:themeFillTint="7F"/>
      </w:tcPr>
    </w:tblStylePr>
    <w:tblStylePr w:type="band1Horz">
      <w:tblPr/>
      <w:tcPr>
        <w:shd w:val="clear" w:color="auto" w:fill="FFB18C" w:themeFill="accent1" w:themeFillTint="7F"/>
      </w:tcPr>
    </w:tblStylePr>
  </w:style>
  <w:style w:type="table" w:styleId="ColorfulGrid-Accent2">
    <w:name w:val="Colorful Grid Accent 2"/>
    <w:basedOn w:val="TableNormal"/>
    <w:uiPriority w:val="73"/>
    <w:locked/>
    <w:rsid w:val="00F80750"/>
    <w:pPr>
      <w:spacing w:after="0"/>
    </w:pPr>
    <w:tblPr>
      <w:tblStyleRowBandSize w:val="1"/>
      <w:tblStyleColBandSize w:val="1"/>
      <w:tblBorders>
        <w:insideH w:val="single" w:sz="4" w:space="0" w:color="FFFFFF" w:themeColor="background1"/>
      </w:tblBorders>
    </w:tblPr>
    <w:tcPr>
      <w:shd w:val="clear" w:color="auto" w:fill="DCDEDE" w:themeFill="accent2" w:themeFillTint="33"/>
    </w:tcPr>
    <w:tblStylePr w:type="firstRow">
      <w:rPr>
        <w:b/>
        <w:bCs/>
      </w:rPr>
      <w:tblPr/>
      <w:tcPr>
        <w:shd w:val="clear" w:color="auto" w:fill="BABDBE" w:themeFill="accent2" w:themeFillTint="66"/>
      </w:tcPr>
    </w:tblStylePr>
    <w:tblStylePr w:type="lastRow">
      <w:rPr>
        <w:b/>
        <w:bCs/>
        <w:color w:val="000000" w:themeColor="text1"/>
      </w:rPr>
      <w:tblPr/>
      <w:tcPr>
        <w:shd w:val="clear" w:color="auto" w:fill="BABDBE" w:themeFill="accent2" w:themeFillTint="66"/>
      </w:tcPr>
    </w:tblStylePr>
    <w:tblStylePr w:type="firstCol">
      <w:rPr>
        <w:color w:val="FFFFFF" w:themeColor="background1"/>
      </w:rPr>
      <w:tblPr/>
      <w:tcPr>
        <w:shd w:val="clear" w:color="auto" w:fill="404344" w:themeFill="accent2" w:themeFillShade="BF"/>
      </w:tcPr>
    </w:tblStylePr>
    <w:tblStylePr w:type="lastCol">
      <w:rPr>
        <w:color w:val="FFFFFF" w:themeColor="background1"/>
      </w:rPr>
      <w:tblPr/>
      <w:tcPr>
        <w:shd w:val="clear" w:color="auto" w:fill="404344" w:themeFill="accent2" w:themeFillShade="BF"/>
      </w:tcPr>
    </w:tblStylePr>
    <w:tblStylePr w:type="band1Vert">
      <w:tblPr/>
      <w:tcPr>
        <w:shd w:val="clear" w:color="auto" w:fill="A9ADAF" w:themeFill="accent2" w:themeFillTint="7F"/>
      </w:tcPr>
    </w:tblStylePr>
    <w:tblStylePr w:type="band1Horz">
      <w:tblPr/>
      <w:tcPr>
        <w:shd w:val="clear" w:color="auto" w:fill="A9ADAF" w:themeFill="accent2" w:themeFillTint="7F"/>
      </w:tcPr>
    </w:tblStylePr>
  </w:style>
  <w:style w:type="table" w:styleId="ColorfulGrid-Accent3">
    <w:name w:val="Colorful Grid Accent 3"/>
    <w:basedOn w:val="TableNormal"/>
    <w:uiPriority w:val="73"/>
    <w:locked/>
    <w:rsid w:val="00F80750"/>
    <w:pPr>
      <w:spacing w:after="0"/>
    </w:pPr>
    <w:tblPr>
      <w:tblStyleRowBandSize w:val="1"/>
      <w:tblStyleColBandSize w:val="1"/>
      <w:tblBorders>
        <w:insideH w:val="single" w:sz="4" w:space="0" w:color="FFFFFF" w:themeColor="background1"/>
      </w:tblBorders>
    </w:tblPr>
    <w:tcPr>
      <w:shd w:val="clear" w:color="auto" w:fill="E8FFBD" w:themeFill="accent3" w:themeFillTint="33"/>
    </w:tcPr>
    <w:tblStylePr w:type="firstRow">
      <w:rPr>
        <w:b/>
        <w:bCs/>
      </w:rPr>
      <w:tblPr/>
      <w:tcPr>
        <w:shd w:val="clear" w:color="auto" w:fill="D2FF7C" w:themeFill="accent3" w:themeFillTint="66"/>
      </w:tcPr>
    </w:tblStylePr>
    <w:tblStylePr w:type="lastRow">
      <w:rPr>
        <w:b/>
        <w:bCs/>
        <w:color w:val="000000" w:themeColor="text1"/>
      </w:rPr>
      <w:tblPr/>
      <w:tcPr>
        <w:shd w:val="clear" w:color="auto" w:fill="D2FF7C" w:themeFill="accent3" w:themeFillTint="66"/>
      </w:tcPr>
    </w:tblStylePr>
    <w:tblStylePr w:type="firstCol">
      <w:rPr>
        <w:color w:val="FFFFFF" w:themeColor="background1"/>
      </w:rPr>
      <w:tblPr/>
      <w:tcPr>
        <w:shd w:val="clear" w:color="auto" w:fill="5B8900" w:themeFill="accent3" w:themeFillShade="BF"/>
      </w:tcPr>
    </w:tblStylePr>
    <w:tblStylePr w:type="lastCol">
      <w:rPr>
        <w:color w:val="FFFFFF" w:themeColor="background1"/>
      </w:rPr>
      <w:tblPr/>
      <w:tcPr>
        <w:shd w:val="clear" w:color="auto" w:fill="5B8900" w:themeFill="accent3" w:themeFillShade="BF"/>
      </w:tcPr>
    </w:tblStylePr>
    <w:tblStylePr w:type="band1Vert">
      <w:tblPr/>
      <w:tcPr>
        <w:shd w:val="clear" w:color="auto" w:fill="C8FF5C" w:themeFill="accent3" w:themeFillTint="7F"/>
      </w:tcPr>
    </w:tblStylePr>
    <w:tblStylePr w:type="band1Horz">
      <w:tblPr/>
      <w:tcPr>
        <w:shd w:val="clear" w:color="auto" w:fill="C8FF5C" w:themeFill="accent3" w:themeFillTint="7F"/>
      </w:tcPr>
    </w:tblStylePr>
  </w:style>
  <w:style w:type="table" w:styleId="ColorfulGrid-Accent4">
    <w:name w:val="Colorful Grid Accent 4"/>
    <w:basedOn w:val="TableNormal"/>
    <w:uiPriority w:val="73"/>
    <w:locked/>
    <w:rsid w:val="00F80750"/>
    <w:pPr>
      <w:spacing w:after="0"/>
    </w:pPr>
    <w:tblPr>
      <w:tblStyleRowBandSize w:val="1"/>
      <w:tblStyleColBandSize w:val="1"/>
      <w:tblBorders>
        <w:insideH w:val="single" w:sz="4" w:space="0" w:color="FFFFFF" w:themeColor="background1"/>
      </w:tblBorders>
    </w:tblPr>
    <w:tcPr>
      <w:shd w:val="clear" w:color="auto" w:fill="C2F4FF" w:themeFill="accent4" w:themeFillTint="33"/>
    </w:tcPr>
    <w:tblStylePr w:type="firstRow">
      <w:rPr>
        <w:b/>
        <w:bCs/>
      </w:rPr>
      <w:tblPr/>
      <w:tcPr>
        <w:shd w:val="clear" w:color="auto" w:fill="86EAFF" w:themeFill="accent4" w:themeFillTint="66"/>
      </w:tcPr>
    </w:tblStylePr>
    <w:tblStylePr w:type="lastRow">
      <w:rPr>
        <w:b/>
        <w:bCs/>
        <w:color w:val="000000" w:themeColor="text1"/>
      </w:rPr>
      <w:tblPr/>
      <w:tcPr>
        <w:shd w:val="clear" w:color="auto" w:fill="86EAFF" w:themeFill="accent4" w:themeFillTint="66"/>
      </w:tcPr>
    </w:tblStylePr>
    <w:tblStylePr w:type="firstCol">
      <w:rPr>
        <w:color w:val="FFFFFF" w:themeColor="background1"/>
      </w:rPr>
      <w:tblPr/>
      <w:tcPr>
        <w:shd w:val="clear" w:color="auto" w:fill="00819B" w:themeFill="accent4" w:themeFillShade="BF"/>
      </w:tcPr>
    </w:tblStylePr>
    <w:tblStylePr w:type="lastCol">
      <w:rPr>
        <w:color w:val="FFFFFF" w:themeColor="background1"/>
      </w:rPr>
      <w:tblPr/>
      <w:tcPr>
        <w:shd w:val="clear" w:color="auto" w:fill="00819B" w:themeFill="accent4" w:themeFillShade="BF"/>
      </w:tcPr>
    </w:tblStylePr>
    <w:tblStylePr w:type="band1Vert">
      <w:tblPr/>
      <w:tcPr>
        <w:shd w:val="clear" w:color="auto" w:fill="68E5FF" w:themeFill="accent4" w:themeFillTint="7F"/>
      </w:tcPr>
    </w:tblStylePr>
    <w:tblStylePr w:type="band1Horz">
      <w:tblPr/>
      <w:tcPr>
        <w:shd w:val="clear" w:color="auto" w:fill="68E5FF" w:themeFill="accent4" w:themeFillTint="7F"/>
      </w:tcPr>
    </w:tblStylePr>
  </w:style>
  <w:style w:type="table" w:styleId="ColorfulGrid-Accent5">
    <w:name w:val="Colorful Grid Accent 5"/>
    <w:basedOn w:val="TableNormal"/>
    <w:uiPriority w:val="73"/>
    <w:locked/>
    <w:rsid w:val="00F80750"/>
    <w:pPr>
      <w:spacing w:after="0"/>
    </w:pPr>
    <w:tblPr>
      <w:tblStyleRowBandSize w:val="1"/>
      <w:tblStyleColBandSize w:val="1"/>
      <w:tblBorders>
        <w:insideH w:val="single" w:sz="4" w:space="0" w:color="FFFFFF" w:themeColor="background1"/>
      </w:tblBorders>
    </w:tblPr>
    <w:tcPr>
      <w:shd w:val="clear" w:color="auto" w:fill="F7F8F8" w:themeFill="accent5" w:themeFillTint="33"/>
    </w:tcPr>
    <w:tblStylePr w:type="firstRow">
      <w:rPr>
        <w:b/>
        <w:bCs/>
      </w:rPr>
      <w:tblPr/>
      <w:tcPr>
        <w:shd w:val="clear" w:color="auto" w:fill="F0F1F1" w:themeFill="accent5" w:themeFillTint="66"/>
      </w:tcPr>
    </w:tblStylePr>
    <w:tblStylePr w:type="lastRow">
      <w:rPr>
        <w:b/>
        <w:bCs/>
        <w:color w:val="000000" w:themeColor="text1"/>
      </w:rPr>
      <w:tblPr/>
      <w:tcPr>
        <w:shd w:val="clear" w:color="auto" w:fill="F0F1F1" w:themeFill="accent5" w:themeFillTint="66"/>
      </w:tcPr>
    </w:tblStylePr>
    <w:tblStylePr w:type="firstCol">
      <w:rPr>
        <w:color w:val="FFFFFF" w:themeColor="background1"/>
      </w:rPr>
      <w:tblPr/>
      <w:tcPr>
        <w:shd w:val="clear" w:color="auto" w:fill="A2A8A8" w:themeFill="accent5" w:themeFillShade="BF"/>
      </w:tcPr>
    </w:tblStylePr>
    <w:tblStylePr w:type="lastCol">
      <w:rPr>
        <w:color w:val="FFFFFF" w:themeColor="background1"/>
      </w:rPr>
      <w:tblPr/>
      <w:tcPr>
        <w:shd w:val="clear" w:color="auto" w:fill="A2A8A8" w:themeFill="accent5" w:themeFillShade="BF"/>
      </w:tcPr>
    </w:tblStylePr>
    <w:tblStylePr w:type="band1Vert">
      <w:tblPr/>
      <w:tcPr>
        <w:shd w:val="clear" w:color="auto" w:fill="EDEEEE" w:themeFill="accent5" w:themeFillTint="7F"/>
      </w:tcPr>
    </w:tblStylePr>
    <w:tblStylePr w:type="band1Horz">
      <w:tblPr/>
      <w:tcPr>
        <w:shd w:val="clear" w:color="auto" w:fill="EDEEEE" w:themeFill="accent5" w:themeFillTint="7F"/>
      </w:tcPr>
    </w:tblStylePr>
  </w:style>
  <w:style w:type="table" w:styleId="ColorfulGrid-Accent6">
    <w:name w:val="Colorful Grid Accent 6"/>
    <w:basedOn w:val="TableNormal"/>
    <w:uiPriority w:val="73"/>
    <w:locked/>
    <w:rsid w:val="00F80750"/>
    <w:pPr>
      <w:spacing w:after="0"/>
    </w:pPr>
    <w:tblPr>
      <w:tblStyleRowBandSize w:val="1"/>
      <w:tblStyleColBandSize w:val="1"/>
      <w:tblBorders>
        <w:insideH w:val="single" w:sz="4" w:space="0" w:color="FFFFFF" w:themeColor="background1"/>
      </w:tblBorders>
    </w:tblPr>
    <w:tcPr>
      <w:shd w:val="clear" w:color="auto" w:fill="B8F2FF" w:themeFill="accent6" w:themeFillTint="33"/>
    </w:tcPr>
    <w:tblStylePr w:type="firstRow">
      <w:rPr>
        <w:b/>
        <w:bCs/>
      </w:rPr>
      <w:tblPr/>
      <w:tcPr>
        <w:shd w:val="clear" w:color="auto" w:fill="71E6FF" w:themeFill="accent6" w:themeFillTint="66"/>
      </w:tcPr>
    </w:tblStylePr>
    <w:tblStylePr w:type="lastRow">
      <w:rPr>
        <w:b/>
        <w:bCs/>
        <w:color w:val="000000" w:themeColor="text1"/>
      </w:rPr>
      <w:tblPr/>
      <w:tcPr>
        <w:shd w:val="clear" w:color="auto" w:fill="71E6FF" w:themeFill="accent6" w:themeFillTint="66"/>
      </w:tcPr>
    </w:tblStylePr>
    <w:tblStylePr w:type="firstCol">
      <w:rPr>
        <w:color w:val="FFFFFF" w:themeColor="background1"/>
      </w:rPr>
      <w:tblPr/>
      <w:tcPr>
        <w:shd w:val="clear" w:color="auto" w:fill="006074" w:themeFill="accent6" w:themeFillShade="BF"/>
      </w:tcPr>
    </w:tblStylePr>
    <w:tblStylePr w:type="lastCol">
      <w:rPr>
        <w:color w:val="FFFFFF" w:themeColor="background1"/>
      </w:rPr>
      <w:tblPr/>
      <w:tcPr>
        <w:shd w:val="clear" w:color="auto" w:fill="006074" w:themeFill="accent6" w:themeFillShade="BF"/>
      </w:tcPr>
    </w:tblStylePr>
    <w:tblStylePr w:type="band1Vert">
      <w:tblPr/>
      <w:tcPr>
        <w:shd w:val="clear" w:color="auto" w:fill="4EDFFF" w:themeFill="accent6" w:themeFillTint="7F"/>
      </w:tcPr>
    </w:tblStylePr>
    <w:tblStylePr w:type="band1Horz">
      <w:tblPr/>
      <w:tcPr>
        <w:shd w:val="clear" w:color="auto" w:fill="4EDFFF" w:themeFill="accent6" w:themeFillTint="7F"/>
      </w:tcPr>
    </w:tblStylePr>
  </w:style>
  <w:style w:type="table" w:styleId="ColorfulList">
    <w:name w:val="Colorful List"/>
    <w:basedOn w:val="TableNormal"/>
    <w:uiPriority w:val="72"/>
    <w:locked/>
    <w:rsid w:val="00F80750"/>
    <w:pPr>
      <w:spacing w:after="0"/>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444749" w:themeFill="accent2" w:themeFillShade="CC"/>
      </w:tcPr>
    </w:tblStylePr>
    <w:tblStylePr w:type="lastRow">
      <w:rPr>
        <w:b/>
        <w:bCs/>
        <w:color w:val="44474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locked/>
    <w:rsid w:val="00F80750"/>
    <w:pPr>
      <w:spacing w:after="0"/>
    </w:pPr>
    <w:tblPr>
      <w:tblStyleRowBandSize w:val="1"/>
      <w:tblStyleColBandSize w:val="1"/>
    </w:tblPr>
    <w:tcPr>
      <w:shd w:val="clear" w:color="auto" w:fill="FFEFE8" w:themeFill="accent1" w:themeFillTint="19"/>
    </w:tcPr>
    <w:tblStylePr w:type="firstRow">
      <w:rPr>
        <w:b/>
        <w:bCs/>
        <w:color w:val="FFFFFF" w:themeColor="background1"/>
      </w:rPr>
      <w:tblPr/>
      <w:tcPr>
        <w:tcBorders>
          <w:bottom w:val="single" w:sz="12" w:space="0" w:color="FFFFFF" w:themeColor="background1"/>
        </w:tcBorders>
        <w:shd w:val="clear" w:color="auto" w:fill="444749" w:themeFill="accent2" w:themeFillShade="CC"/>
      </w:tcPr>
    </w:tblStylePr>
    <w:tblStylePr w:type="lastRow">
      <w:rPr>
        <w:b/>
        <w:bCs/>
        <w:color w:val="44474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8C6" w:themeFill="accent1" w:themeFillTint="3F"/>
      </w:tcPr>
    </w:tblStylePr>
    <w:tblStylePr w:type="band1Horz">
      <w:tblPr/>
      <w:tcPr>
        <w:shd w:val="clear" w:color="auto" w:fill="FFDFD1" w:themeFill="accent1" w:themeFillTint="33"/>
      </w:tcPr>
    </w:tblStylePr>
  </w:style>
  <w:style w:type="table" w:styleId="ColorfulList-Accent2">
    <w:name w:val="Colorful List Accent 2"/>
    <w:basedOn w:val="TableNormal"/>
    <w:uiPriority w:val="72"/>
    <w:locked/>
    <w:rsid w:val="00F80750"/>
    <w:pPr>
      <w:spacing w:after="0"/>
    </w:pPr>
    <w:tblPr>
      <w:tblStyleRowBandSize w:val="1"/>
      <w:tblStyleColBandSize w:val="1"/>
    </w:tblPr>
    <w:tcPr>
      <w:shd w:val="clear" w:color="auto" w:fill="EEEEEF" w:themeFill="accent2" w:themeFillTint="19"/>
    </w:tcPr>
    <w:tblStylePr w:type="firstRow">
      <w:rPr>
        <w:b/>
        <w:bCs/>
        <w:color w:val="FFFFFF" w:themeColor="background1"/>
      </w:rPr>
      <w:tblPr/>
      <w:tcPr>
        <w:tcBorders>
          <w:bottom w:val="single" w:sz="12" w:space="0" w:color="FFFFFF" w:themeColor="background1"/>
        </w:tcBorders>
        <w:shd w:val="clear" w:color="auto" w:fill="444749" w:themeFill="accent2" w:themeFillShade="CC"/>
      </w:tcPr>
    </w:tblStylePr>
    <w:tblStylePr w:type="lastRow">
      <w:rPr>
        <w:b/>
        <w:bCs/>
        <w:color w:val="44474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4D6D7" w:themeFill="accent2" w:themeFillTint="3F"/>
      </w:tcPr>
    </w:tblStylePr>
    <w:tblStylePr w:type="band1Horz">
      <w:tblPr/>
      <w:tcPr>
        <w:shd w:val="clear" w:color="auto" w:fill="DCDEDE" w:themeFill="accent2" w:themeFillTint="33"/>
      </w:tcPr>
    </w:tblStylePr>
  </w:style>
  <w:style w:type="table" w:styleId="ColorfulList-Accent3">
    <w:name w:val="Colorful List Accent 3"/>
    <w:basedOn w:val="TableNormal"/>
    <w:uiPriority w:val="72"/>
    <w:locked/>
    <w:rsid w:val="00F80750"/>
    <w:pPr>
      <w:spacing w:after="0"/>
    </w:pPr>
    <w:tblPr>
      <w:tblStyleRowBandSize w:val="1"/>
      <w:tblStyleColBandSize w:val="1"/>
    </w:tblPr>
    <w:tcPr>
      <w:shd w:val="clear" w:color="auto" w:fill="F4FFDF" w:themeFill="accent3" w:themeFillTint="19"/>
    </w:tcPr>
    <w:tblStylePr w:type="firstRow">
      <w:rPr>
        <w:b/>
        <w:bCs/>
        <w:color w:val="FFFFFF" w:themeColor="background1"/>
      </w:rPr>
      <w:tblPr/>
      <w:tcPr>
        <w:tcBorders>
          <w:bottom w:val="single" w:sz="12" w:space="0" w:color="FFFFFF" w:themeColor="background1"/>
        </w:tcBorders>
        <w:shd w:val="clear" w:color="auto" w:fill="008AA6" w:themeFill="accent4" w:themeFillShade="CC"/>
      </w:tcPr>
    </w:tblStylePr>
    <w:tblStylePr w:type="lastRow">
      <w:rPr>
        <w:b/>
        <w:bCs/>
        <w:color w:val="008AA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FAE" w:themeFill="accent3" w:themeFillTint="3F"/>
      </w:tcPr>
    </w:tblStylePr>
    <w:tblStylePr w:type="band1Horz">
      <w:tblPr/>
      <w:tcPr>
        <w:shd w:val="clear" w:color="auto" w:fill="E8FFBD" w:themeFill="accent3" w:themeFillTint="33"/>
      </w:tcPr>
    </w:tblStylePr>
  </w:style>
  <w:style w:type="table" w:styleId="ColorfulList-Accent4">
    <w:name w:val="Colorful List Accent 4"/>
    <w:basedOn w:val="TableNormal"/>
    <w:uiPriority w:val="72"/>
    <w:locked/>
    <w:rsid w:val="00F80750"/>
    <w:pPr>
      <w:spacing w:after="0"/>
    </w:pPr>
    <w:tblPr>
      <w:tblStyleRowBandSize w:val="1"/>
      <w:tblStyleColBandSize w:val="1"/>
    </w:tblPr>
    <w:tcPr>
      <w:shd w:val="clear" w:color="auto" w:fill="E1F9FF" w:themeFill="accent4" w:themeFillTint="19"/>
    </w:tcPr>
    <w:tblStylePr w:type="firstRow">
      <w:rPr>
        <w:b/>
        <w:bCs/>
        <w:color w:val="FFFFFF" w:themeColor="background1"/>
      </w:rPr>
      <w:tblPr/>
      <w:tcPr>
        <w:tcBorders>
          <w:bottom w:val="single" w:sz="12" w:space="0" w:color="FFFFFF" w:themeColor="background1"/>
        </w:tcBorders>
        <w:shd w:val="clear" w:color="auto" w:fill="619300" w:themeFill="accent3" w:themeFillShade="CC"/>
      </w:tcPr>
    </w:tblStylePr>
    <w:tblStylePr w:type="lastRow">
      <w:rPr>
        <w:b/>
        <w:bCs/>
        <w:color w:val="6193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4F2FF" w:themeFill="accent4" w:themeFillTint="3F"/>
      </w:tcPr>
    </w:tblStylePr>
    <w:tblStylePr w:type="band1Horz">
      <w:tblPr/>
      <w:tcPr>
        <w:shd w:val="clear" w:color="auto" w:fill="C2F4FF" w:themeFill="accent4" w:themeFillTint="33"/>
      </w:tcPr>
    </w:tblStylePr>
  </w:style>
  <w:style w:type="table" w:styleId="ColorfulList-Accent5">
    <w:name w:val="Colorful List Accent 5"/>
    <w:basedOn w:val="TableNormal"/>
    <w:uiPriority w:val="72"/>
    <w:locked/>
    <w:rsid w:val="00F80750"/>
    <w:pPr>
      <w:spacing w:after="0"/>
    </w:pPr>
    <w:tblPr>
      <w:tblStyleRowBandSize w:val="1"/>
      <w:tblStyleColBandSize w:val="1"/>
    </w:tblPr>
    <w:tcPr>
      <w:shd w:val="clear" w:color="auto" w:fill="FBFBFB" w:themeFill="accent5" w:themeFillTint="19"/>
    </w:tcPr>
    <w:tblStylePr w:type="firstRow">
      <w:rPr>
        <w:b/>
        <w:bCs/>
        <w:color w:val="FFFFFF" w:themeColor="background1"/>
      </w:rPr>
      <w:tblPr/>
      <w:tcPr>
        <w:tcBorders>
          <w:bottom w:val="single" w:sz="12" w:space="0" w:color="FFFFFF" w:themeColor="background1"/>
        </w:tcBorders>
        <w:shd w:val="clear" w:color="auto" w:fill="00667C" w:themeFill="accent6" w:themeFillShade="CC"/>
      </w:tcPr>
    </w:tblStylePr>
    <w:tblStylePr w:type="lastRow">
      <w:rPr>
        <w:b/>
        <w:bCs/>
        <w:color w:val="00667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6F6" w:themeFill="accent5" w:themeFillTint="3F"/>
      </w:tcPr>
    </w:tblStylePr>
    <w:tblStylePr w:type="band1Horz">
      <w:tblPr/>
      <w:tcPr>
        <w:shd w:val="clear" w:color="auto" w:fill="F7F8F8" w:themeFill="accent5" w:themeFillTint="33"/>
      </w:tcPr>
    </w:tblStylePr>
  </w:style>
  <w:style w:type="table" w:styleId="ColorfulList-Accent6">
    <w:name w:val="Colorful List Accent 6"/>
    <w:basedOn w:val="TableNormal"/>
    <w:uiPriority w:val="72"/>
    <w:locked/>
    <w:rsid w:val="00F80750"/>
    <w:pPr>
      <w:spacing w:after="0"/>
    </w:pPr>
    <w:tblPr>
      <w:tblStyleRowBandSize w:val="1"/>
      <w:tblStyleColBandSize w:val="1"/>
    </w:tblPr>
    <w:tcPr>
      <w:shd w:val="clear" w:color="auto" w:fill="DCF8FF" w:themeFill="accent6" w:themeFillTint="19"/>
    </w:tcPr>
    <w:tblStylePr w:type="firstRow">
      <w:rPr>
        <w:b/>
        <w:bCs/>
        <w:color w:val="FFFFFF" w:themeColor="background1"/>
      </w:rPr>
      <w:tblPr/>
      <w:tcPr>
        <w:tcBorders>
          <w:bottom w:val="single" w:sz="12" w:space="0" w:color="FFFFFF" w:themeColor="background1"/>
        </w:tcBorders>
        <w:shd w:val="clear" w:color="auto" w:fill="AEB3B3" w:themeFill="accent5" w:themeFillShade="CC"/>
      </w:tcPr>
    </w:tblStylePr>
    <w:tblStylePr w:type="lastRow">
      <w:rPr>
        <w:b/>
        <w:bCs/>
        <w:color w:val="AEB3B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EFFF" w:themeFill="accent6" w:themeFillTint="3F"/>
      </w:tcPr>
    </w:tblStylePr>
    <w:tblStylePr w:type="band1Horz">
      <w:tblPr/>
      <w:tcPr>
        <w:shd w:val="clear" w:color="auto" w:fill="B8F2FF" w:themeFill="accent6" w:themeFillTint="33"/>
      </w:tcPr>
    </w:tblStylePr>
  </w:style>
  <w:style w:type="table" w:styleId="ColorfulShading">
    <w:name w:val="Colorful Shading"/>
    <w:basedOn w:val="TableNormal"/>
    <w:uiPriority w:val="71"/>
    <w:locked/>
    <w:rsid w:val="00F80750"/>
    <w:pPr>
      <w:spacing w:after="0"/>
    </w:pPr>
    <w:tblPr>
      <w:tblStyleRowBandSize w:val="1"/>
      <w:tblStyleColBandSize w:val="1"/>
      <w:tblBorders>
        <w:top w:val="single" w:sz="24" w:space="0" w:color="565A5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65A5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locked/>
    <w:rsid w:val="00F80750"/>
    <w:pPr>
      <w:spacing w:after="0"/>
    </w:pPr>
    <w:tblPr>
      <w:tblStyleRowBandSize w:val="1"/>
      <w:tblStyleColBandSize w:val="1"/>
      <w:tblBorders>
        <w:top w:val="single" w:sz="24" w:space="0" w:color="565A5C" w:themeColor="accent2"/>
        <w:left w:val="single" w:sz="4" w:space="0" w:color="FF6319" w:themeColor="accent1"/>
        <w:bottom w:val="single" w:sz="4" w:space="0" w:color="FF6319" w:themeColor="accent1"/>
        <w:right w:val="single" w:sz="4" w:space="0" w:color="FF6319" w:themeColor="accent1"/>
        <w:insideH w:val="single" w:sz="4" w:space="0" w:color="FFFFFF" w:themeColor="background1"/>
        <w:insideV w:val="single" w:sz="4" w:space="0" w:color="FFFFFF" w:themeColor="background1"/>
      </w:tblBorders>
    </w:tblPr>
    <w:tcPr>
      <w:shd w:val="clear" w:color="auto" w:fill="FFEFE8" w:themeFill="accent1" w:themeFillTint="19"/>
    </w:tcPr>
    <w:tblStylePr w:type="firstRow">
      <w:rPr>
        <w:b/>
        <w:bCs/>
      </w:rPr>
      <w:tblPr/>
      <w:tcPr>
        <w:tcBorders>
          <w:top w:val="nil"/>
          <w:left w:val="nil"/>
          <w:bottom w:val="single" w:sz="24" w:space="0" w:color="565A5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83600" w:themeFill="accent1" w:themeFillShade="99"/>
      </w:tcPr>
    </w:tblStylePr>
    <w:tblStylePr w:type="firstCol">
      <w:rPr>
        <w:color w:val="FFFFFF" w:themeColor="background1"/>
      </w:rPr>
      <w:tblPr/>
      <w:tcPr>
        <w:tcBorders>
          <w:top w:val="nil"/>
          <w:left w:val="nil"/>
          <w:bottom w:val="nil"/>
          <w:right w:val="nil"/>
          <w:insideH w:val="single" w:sz="4" w:space="0" w:color="A83600" w:themeColor="accent1" w:themeShade="99"/>
          <w:insideV w:val="nil"/>
        </w:tcBorders>
        <w:shd w:val="clear" w:color="auto" w:fill="A836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A83600" w:themeFill="accent1" w:themeFillShade="99"/>
      </w:tcPr>
    </w:tblStylePr>
    <w:tblStylePr w:type="band1Vert">
      <w:tblPr/>
      <w:tcPr>
        <w:shd w:val="clear" w:color="auto" w:fill="FFC0A3" w:themeFill="accent1" w:themeFillTint="66"/>
      </w:tcPr>
    </w:tblStylePr>
    <w:tblStylePr w:type="band1Horz">
      <w:tblPr/>
      <w:tcPr>
        <w:shd w:val="clear" w:color="auto" w:fill="FFB18C"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locked/>
    <w:rsid w:val="00F80750"/>
    <w:pPr>
      <w:spacing w:after="0"/>
    </w:pPr>
    <w:tblPr>
      <w:tblStyleRowBandSize w:val="1"/>
      <w:tblStyleColBandSize w:val="1"/>
      <w:tblBorders>
        <w:top w:val="single" w:sz="24" w:space="0" w:color="565A5C" w:themeColor="accent2"/>
        <w:left w:val="single" w:sz="4" w:space="0" w:color="565A5C" w:themeColor="accent2"/>
        <w:bottom w:val="single" w:sz="4" w:space="0" w:color="565A5C" w:themeColor="accent2"/>
        <w:right w:val="single" w:sz="4" w:space="0" w:color="565A5C" w:themeColor="accent2"/>
        <w:insideH w:val="single" w:sz="4" w:space="0" w:color="FFFFFF" w:themeColor="background1"/>
        <w:insideV w:val="single" w:sz="4" w:space="0" w:color="FFFFFF" w:themeColor="background1"/>
      </w:tblBorders>
    </w:tblPr>
    <w:tcPr>
      <w:shd w:val="clear" w:color="auto" w:fill="EEEEEF" w:themeFill="accent2" w:themeFillTint="19"/>
    </w:tcPr>
    <w:tblStylePr w:type="firstRow">
      <w:rPr>
        <w:b/>
        <w:bCs/>
      </w:rPr>
      <w:tblPr/>
      <w:tcPr>
        <w:tcBorders>
          <w:top w:val="nil"/>
          <w:left w:val="nil"/>
          <w:bottom w:val="single" w:sz="24" w:space="0" w:color="565A5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3537" w:themeFill="accent2" w:themeFillShade="99"/>
      </w:tcPr>
    </w:tblStylePr>
    <w:tblStylePr w:type="firstCol">
      <w:rPr>
        <w:color w:val="FFFFFF" w:themeColor="background1"/>
      </w:rPr>
      <w:tblPr/>
      <w:tcPr>
        <w:tcBorders>
          <w:top w:val="nil"/>
          <w:left w:val="nil"/>
          <w:bottom w:val="nil"/>
          <w:right w:val="nil"/>
          <w:insideH w:val="single" w:sz="4" w:space="0" w:color="333537" w:themeColor="accent2" w:themeShade="99"/>
          <w:insideV w:val="nil"/>
        </w:tcBorders>
        <w:shd w:val="clear" w:color="auto" w:fill="33353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33537" w:themeFill="accent2" w:themeFillShade="99"/>
      </w:tcPr>
    </w:tblStylePr>
    <w:tblStylePr w:type="band1Vert">
      <w:tblPr/>
      <w:tcPr>
        <w:shd w:val="clear" w:color="auto" w:fill="BABDBE" w:themeFill="accent2" w:themeFillTint="66"/>
      </w:tcPr>
    </w:tblStylePr>
    <w:tblStylePr w:type="band1Horz">
      <w:tblPr/>
      <w:tcPr>
        <w:shd w:val="clear" w:color="auto" w:fill="A9ADA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locked/>
    <w:rsid w:val="00F80750"/>
    <w:pPr>
      <w:spacing w:after="0"/>
    </w:pPr>
    <w:tblPr>
      <w:tblStyleRowBandSize w:val="1"/>
      <w:tblStyleColBandSize w:val="1"/>
      <w:tblBorders>
        <w:top w:val="single" w:sz="24" w:space="0" w:color="00ADD0" w:themeColor="accent4"/>
        <w:left w:val="single" w:sz="4" w:space="0" w:color="7AB800" w:themeColor="accent3"/>
        <w:bottom w:val="single" w:sz="4" w:space="0" w:color="7AB800" w:themeColor="accent3"/>
        <w:right w:val="single" w:sz="4" w:space="0" w:color="7AB800" w:themeColor="accent3"/>
        <w:insideH w:val="single" w:sz="4" w:space="0" w:color="FFFFFF" w:themeColor="background1"/>
        <w:insideV w:val="single" w:sz="4" w:space="0" w:color="FFFFFF" w:themeColor="background1"/>
      </w:tblBorders>
    </w:tblPr>
    <w:tcPr>
      <w:shd w:val="clear" w:color="auto" w:fill="F4FFDF" w:themeFill="accent3" w:themeFillTint="19"/>
    </w:tcPr>
    <w:tblStylePr w:type="firstRow">
      <w:rPr>
        <w:b/>
        <w:bCs/>
      </w:rPr>
      <w:tblPr/>
      <w:tcPr>
        <w:tcBorders>
          <w:top w:val="nil"/>
          <w:left w:val="nil"/>
          <w:bottom w:val="single" w:sz="24" w:space="0" w:color="00ADD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6E00" w:themeFill="accent3" w:themeFillShade="99"/>
      </w:tcPr>
    </w:tblStylePr>
    <w:tblStylePr w:type="firstCol">
      <w:rPr>
        <w:color w:val="FFFFFF" w:themeColor="background1"/>
      </w:rPr>
      <w:tblPr/>
      <w:tcPr>
        <w:tcBorders>
          <w:top w:val="nil"/>
          <w:left w:val="nil"/>
          <w:bottom w:val="nil"/>
          <w:right w:val="nil"/>
          <w:insideH w:val="single" w:sz="4" w:space="0" w:color="496E00" w:themeColor="accent3" w:themeShade="99"/>
          <w:insideV w:val="nil"/>
        </w:tcBorders>
        <w:shd w:val="clear" w:color="auto" w:fill="496E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96E00" w:themeFill="accent3" w:themeFillShade="99"/>
      </w:tcPr>
    </w:tblStylePr>
    <w:tblStylePr w:type="band1Vert">
      <w:tblPr/>
      <w:tcPr>
        <w:shd w:val="clear" w:color="auto" w:fill="D2FF7C" w:themeFill="accent3" w:themeFillTint="66"/>
      </w:tcPr>
    </w:tblStylePr>
    <w:tblStylePr w:type="band1Horz">
      <w:tblPr/>
      <w:tcPr>
        <w:shd w:val="clear" w:color="auto" w:fill="C8FF5C" w:themeFill="accent3" w:themeFillTint="7F"/>
      </w:tcPr>
    </w:tblStylePr>
  </w:style>
  <w:style w:type="table" w:styleId="ColorfulShading-Accent4">
    <w:name w:val="Colorful Shading Accent 4"/>
    <w:basedOn w:val="TableNormal"/>
    <w:uiPriority w:val="71"/>
    <w:locked/>
    <w:rsid w:val="00F80750"/>
    <w:pPr>
      <w:spacing w:after="0"/>
    </w:pPr>
    <w:tblPr>
      <w:tblStyleRowBandSize w:val="1"/>
      <w:tblStyleColBandSize w:val="1"/>
      <w:tblBorders>
        <w:top w:val="single" w:sz="24" w:space="0" w:color="7AB800" w:themeColor="accent3"/>
        <w:left w:val="single" w:sz="4" w:space="0" w:color="00ADD0" w:themeColor="accent4"/>
        <w:bottom w:val="single" w:sz="4" w:space="0" w:color="00ADD0" w:themeColor="accent4"/>
        <w:right w:val="single" w:sz="4" w:space="0" w:color="00ADD0" w:themeColor="accent4"/>
        <w:insideH w:val="single" w:sz="4" w:space="0" w:color="FFFFFF" w:themeColor="background1"/>
        <w:insideV w:val="single" w:sz="4" w:space="0" w:color="FFFFFF" w:themeColor="background1"/>
      </w:tblBorders>
    </w:tblPr>
    <w:tcPr>
      <w:shd w:val="clear" w:color="auto" w:fill="E1F9FF" w:themeFill="accent4" w:themeFillTint="19"/>
    </w:tcPr>
    <w:tblStylePr w:type="firstRow">
      <w:rPr>
        <w:b/>
        <w:bCs/>
      </w:rPr>
      <w:tblPr/>
      <w:tcPr>
        <w:tcBorders>
          <w:top w:val="nil"/>
          <w:left w:val="nil"/>
          <w:bottom w:val="single" w:sz="24" w:space="0" w:color="7AB8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77C" w:themeFill="accent4" w:themeFillShade="99"/>
      </w:tcPr>
    </w:tblStylePr>
    <w:tblStylePr w:type="firstCol">
      <w:rPr>
        <w:color w:val="FFFFFF" w:themeColor="background1"/>
      </w:rPr>
      <w:tblPr/>
      <w:tcPr>
        <w:tcBorders>
          <w:top w:val="nil"/>
          <w:left w:val="nil"/>
          <w:bottom w:val="nil"/>
          <w:right w:val="nil"/>
          <w:insideH w:val="single" w:sz="4" w:space="0" w:color="00677C" w:themeColor="accent4" w:themeShade="99"/>
          <w:insideV w:val="nil"/>
        </w:tcBorders>
        <w:shd w:val="clear" w:color="auto" w:fill="00677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677C" w:themeFill="accent4" w:themeFillShade="99"/>
      </w:tcPr>
    </w:tblStylePr>
    <w:tblStylePr w:type="band1Vert">
      <w:tblPr/>
      <w:tcPr>
        <w:shd w:val="clear" w:color="auto" w:fill="86EAFF" w:themeFill="accent4" w:themeFillTint="66"/>
      </w:tcPr>
    </w:tblStylePr>
    <w:tblStylePr w:type="band1Horz">
      <w:tblPr/>
      <w:tcPr>
        <w:shd w:val="clear" w:color="auto" w:fill="68E5F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locked/>
    <w:rsid w:val="00F80750"/>
    <w:pPr>
      <w:spacing w:after="0"/>
    </w:pPr>
    <w:tblPr>
      <w:tblStyleRowBandSize w:val="1"/>
      <w:tblStyleColBandSize w:val="1"/>
      <w:tblBorders>
        <w:top w:val="single" w:sz="24" w:space="0" w:color="00819C" w:themeColor="accent6"/>
        <w:left w:val="single" w:sz="4" w:space="0" w:color="DCDEDE" w:themeColor="accent5"/>
        <w:bottom w:val="single" w:sz="4" w:space="0" w:color="DCDEDE" w:themeColor="accent5"/>
        <w:right w:val="single" w:sz="4" w:space="0" w:color="DCDEDE" w:themeColor="accent5"/>
        <w:insideH w:val="single" w:sz="4" w:space="0" w:color="FFFFFF" w:themeColor="background1"/>
        <w:insideV w:val="single" w:sz="4" w:space="0" w:color="FFFFFF" w:themeColor="background1"/>
      </w:tblBorders>
    </w:tblPr>
    <w:tcPr>
      <w:shd w:val="clear" w:color="auto" w:fill="FBFBFB" w:themeFill="accent5" w:themeFillTint="19"/>
    </w:tcPr>
    <w:tblStylePr w:type="firstRow">
      <w:rPr>
        <w:b/>
        <w:bCs/>
      </w:rPr>
      <w:tblPr/>
      <w:tcPr>
        <w:tcBorders>
          <w:top w:val="nil"/>
          <w:left w:val="nil"/>
          <w:bottom w:val="single" w:sz="24" w:space="0" w:color="00819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08888" w:themeFill="accent5" w:themeFillShade="99"/>
      </w:tcPr>
    </w:tblStylePr>
    <w:tblStylePr w:type="firstCol">
      <w:rPr>
        <w:color w:val="FFFFFF" w:themeColor="background1"/>
      </w:rPr>
      <w:tblPr/>
      <w:tcPr>
        <w:tcBorders>
          <w:top w:val="nil"/>
          <w:left w:val="nil"/>
          <w:bottom w:val="nil"/>
          <w:right w:val="nil"/>
          <w:insideH w:val="single" w:sz="4" w:space="0" w:color="808888" w:themeColor="accent5" w:themeShade="99"/>
          <w:insideV w:val="nil"/>
        </w:tcBorders>
        <w:shd w:val="clear" w:color="auto" w:fill="80888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08888" w:themeFill="accent5" w:themeFillShade="99"/>
      </w:tcPr>
    </w:tblStylePr>
    <w:tblStylePr w:type="band1Vert">
      <w:tblPr/>
      <w:tcPr>
        <w:shd w:val="clear" w:color="auto" w:fill="F0F1F1" w:themeFill="accent5" w:themeFillTint="66"/>
      </w:tcPr>
    </w:tblStylePr>
    <w:tblStylePr w:type="band1Horz">
      <w:tblPr/>
      <w:tcPr>
        <w:shd w:val="clear" w:color="auto" w:fill="EDEEEE"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locked/>
    <w:rsid w:val="00F80750"/>
    <w:pPr>
      <w:spacing w:after="0"/>
    </w:pPr>
    <w:tblPr>
      <w:tblStyleRowBandSize w:val="1"/>
      <w:tblStyleColBandSize w:val="1"/>
      <w:tblBorders>
        <w:top w:val="single" w:sz="24" w:space="0" w:color="DCDEDE" w:themeColor="accent5"/>
        <w:left w:val="single" w:sz="4" w:space="0" w:color="00819C" w:themeColor="accent6"/>
        <w:bottom w:val="single" w:sz="4" w:space="0" w:color="00819C" w:themeColor="accent6"/>
        <w:right w:val="single" w:sz="4" w:space="0" w:color="00819C" w:themeColor="accent6"/>
        <w:insideH w:val="single" w:sz="4" w:space="0" w:color="FFFFFF" w:themeColor="background1"/>
        <w:insideV w:val="single" w:sz="4" w:space="0" w:color="FFFFFF" w:themeColor="background1"/>
      </w:tblBorders>
    </w:tblPr>
    <w:tcPr>
      <w:shd w:val="clear" w:color="auto" w:fill="DCF8FF" w:themeFill="accent6" w:themeFillTint="19"/>
    </w:tcPr>
    <w:tblStylePr w:type="firstRow">
      <w:rPr>
        <w:b/>
        <w:bCs/>
      </w:rPr>
      <w:tblPr/>
      <w:tcPr>
        <w:tcBorders>
          <w:top w:val="nil"/>
          <w:left w:val="nil"/>
          <w:bottom w:val="single" w:sz="24" w:space="0" w:color="DCDED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C5D" w:themeFill="accent6" w:themeFillShade="99"/>
      </w:tcPr>
    </w:tblStylePr>
    <w:tblStylePr w:type="firstCol">
      <w:rPr>
        <w:color w:val="FFFFFF" w:themeColor="background1"/>
      </w:rPr>
      <w:tblPr/>
      <w:tcPr>
        <w:tcBorders>
          <w:top w:val="nil"/>
          <w:left w:val="nil"/>
          <w:bottom w:val="nil"/>
          <w:right w:val="nil"/>
          <w:insideH w:val="single" w:sz="4" w:space="0" w:color="004C5D" w:themeColor="accent6" w:themeShade="99"/>
          <w:insideV w:val="nil"/>
        </w:tcBorders>
        <w:shd w:val="clear" w:color="auto" w:fill="004C5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4C5D" w:themeFill="accent6" w:themeFillShade="99"/>
      </w:tcPr>
    </w:tblStylePr>
    <w:tblStylePr w:type="band1Vert">
      <w:tblPr/>
      <w:tcPr>
        <w:shd w:val="clear" w:color="auto" w:fill="71E6FF" w:themeFill="accent6" w:themeFillTint="66"/>
      </w:tcPr>
    </w:tblStylePr>
    <w:tblStylePr w:type="band1Horz">
      <w:tblPr/>
      <w:tcPr>
        <w:shd w:val="clear" w:color="auto" w:fill="4ED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locked/>
    <w:rsid w:val="00F80750"/>
    <w:rPr>
      <w:noProof w:val="0"/>
      <w:sz w:val="16"/>
      <w:szCs w:val="16"/>
      <w:lang w:val="en-AU"/>
    </w:rPr>
  </w:style>
  <w:style w:type="paragraph" w:styleId="CommentText">
    <w:name w:val="annotation text"/>
    <w:basedOn w:val="Normal"/>
    <w:link w:val="CommentTextChar"/>
    <w:uiPriority w:val="99"/>
    <w:unhideWhenUsed/>
    <w:locked/>
    <w:rsid w:val="00F80750"/>
  </w:style>
  <w:style w:type="character" w:customStyle="1" w:styleId="CommentTextChar">
    <w:name w:val="Comment Text Char"/>
    <w:basedOn w:val="DefaultParagraphFont"/>
    <w:link w:val="CommentText"/>
    <w:uiPriority w:val="99"/>
    <w:rsid w:val="00F80750"/>
    <w:rPr>
      <w:noProof w:val="0"/>
      <w:sz w:val="20"/>
      <w:szCs w:val="20"/>
      <w:lang w:val="en-AU"/>
    </w:rPr>
  </w:style>
  <w:style w:type="paragraph" w:styleId="CommentSubject">
    <w:name w:val="annotation subject"/>
    <w:basedOn w:val="CommentText"/>
    <w:next w:val="CommentText"/>
    <w:link w:val="CommentSubjectChar"/>
    <w:uiPriority w:val="99"/>
    <w:semiHidden/>
    <w:unhideWhenUsed/>
    <w:locked/>
    <w:rsid w:val="00F80750"/>
    <w:rPr>
      <w:b/>
      <w:bCs/>
    </w:rPr>
  </w:style>
  <w:style w:type="character" w:customStyle="1" w:styleId="CommentSubjectChar">
    <w:name w:val="Comment Subject Char"/>
    <w:basedOn w:val="CommentTextChar"/>
    <w:link w:val="CommentSubject"/>
    <w:uiPriority w:val="99"/>
    <w:semiHidden/>
    <w:rsid w:val="00F80750"/>
    <w:rPr>
      <w:b/>
      <w:bCs/>
      <w:noProof w:val="0"/>
      <w:sz w:val="20"/>
      <w:szCs w:val="20"/>
      <w:lang w:val="en-AU"/>
    </w:rPr>
  </w:style>
  <w:style w:type="table" w:styleId="DarkList">
    <w:name w:val="Dark List"/>
    <w:basedOn w:val="TableNormal"/>
    <w:uiPriority w:val="70"/>
    <w:locked/>
    <w:rsid w:val="00F80750"/>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locked/>
    <w:rsid w:val="00F80750"/>
    <w:pPr>
      <w:spacing w:after="0"/>
    </w:pPr>
    <w:rPr>
      <w:color w:val="FFFFFF" w:themeColor="background1"/>
    </w:rPr>
    <w:tblPr>
      <w:tblStyleRowBandSize w:val="1"/>
      <w:tblStyleColBandSize w:val="1"/>
    </w:tblPr>
    <w:tcPr>
      <w:shd w:val="clear" w:color="auto" w:fill="FF631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B2C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D143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D14300" w:themeFill="accent1" w:themeFillShade="BF"/>
      </w:tcPr>
    </w:tblStylePr>
    <w:tblStylePr w:type="band1Vert">
      <w:tblPr/>
      <w:tcPr>
        <w:tcBorders>
          <w:top w:val="nil"/>
          <w:left w:val="nil"/>
          <w:bottom w:val="nil"/>
          <w:right w:val="nil"/>
          <w:insideH w:val="nil"/>
          <w:insideV w:val="nil"/>
        </w:tcBorders>
        <w:shd w:val="clear" w:color="auto" w:fill="D14300" w:themeFill="accent1" w:themeFillShade="BF"/>
      </w:tcPr>
    </w:tblStylePr>
    <w:tblStylePr w:type="band1Horz">
      <w:tblPr/>
      <w:tcPr>
        <w:tcBorders>
          <w:top w:val="nil"/>
          <w:left w:val="nil"/>
          <w:bottom w:val="nil"/>
          <w:right w:val="nil"/>
          <w:insideH w:val="nil"/>
          <w:insideV w:val="nil"/>
        </w:tcBorders>
        <w:shd w:val="clear" w:color="auto" w:fill="D14300" w:themeFill="accent1" w:themeFillShade="BF"/>
      </w:tcPr>
    </w:tblStylePr>
  </w:style>
  <w:style w:type="table" w:styleId="DarkList-Accent2">
    <w:name w:val="Dark List Accent 2"/>
    <w:basedOn w:val="TableNormal"/>
    <w:uiPriority w:val="70"/>
    <w:locked/>
    <w:rsid w:val="00F80750"/>
    <w:pPr>
      <w:spacing w:after="0"/>
    </w:pPr>
    <w:rPr>
      <w:color w:val="FFFFFF" w:themeColor="background1"/>
    </w:rPr>
    <w:tblPr>
      <w:tblStyleRowBandSize w:val="1"/>
      <w:tblStyleColBandSize w:val="1"/>
    </w:tblPr>
    <w:tcPr>
      <w:shd w:val="clear" w:color="auto" w:fill="565A5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A2C2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434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4344" w:themeFill="accent2" w:themeFillShade="BF"/>
      </w:tcPr>
    </w:tblStylePr>
    <w:tblStylePr w:type="band1Vert">
      <w:tblPr/>
      <w:tcPr>
        <w:tcBorders>
          <w:top w:val="nil"/>
          <w:left w:val="nil"/>
          <w:bottom w:val="nil"/>
          <w:right w:val="nil"/>
          <w:insideH w:val="nil"/>
          <w:insideV w:val="nil"/>
        </w:tcBorders>
        <w:shd w:val="clear" w:color="auto" w:fill="404344" w:themeFill="accent2" w:themeFillShade="BF"/>
      </w:tcPr>
    </w:tblStylePr>
    <w:tblStylePr w:type="band1Horz">
      <w:tblPr/>
      <w:tcPr>
        <w:tcBorders>
          <w:top w:val="nil"/>
          <w:left w:val="nil"/>
          <w:bottom w:val="nil"/>
          <w:right w:val="nil"/>
          <w:insideH w:val="nil"/>
          <w:insideV w:val="nil"/>
        </w:tcBorders>
        <w:shd w:val="clear" w:color="auto" w:fill="404344" w:themeFill="accent2" w:themeFillShade="BF"/>
      </w:tcPr>
    </w:tblStylePr>
  </w:style>
  <w:style w:type="table" w:styleId="DarkList-Accent3">
    <w:name w:val="Dark List Accent 3"/>
    <w:basedOn w:val="TableNormal"/>
    <w:uiPriority w:val="70"/>
    <w:locked/>
    <w:rsid w:val="00F80750"/>
    <w:pPr>
      <w:spacing w:after="0"/>
    </w:pPr>
    <w:rPr>
      <w:color w:val="FFFFFF" w:themeColor="background1"/>
    </w:rPr>
    <w:tblPr>
      <w:tblStyleRowBandSize w:val="1"/>
      <w:tblStyleColBandSize w:val="1"/>
    </w:tblPr>
    <w:tcPr>
      <w:shd w:val="clear" w:color="auto" w:fill="7AB8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5B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B89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B8900" w:themeFill="accent3" w:themeFillShade="BF"/>
      </w:tcPr>
    </w:tblStylePr>
    <w:tblStylePr w:type="band1Vert">
      <w:tblPr/>
      <w:tcPr>
        <w:tcBorders>
          <w:top w:val="nil"/>
          <w:left w:val="nil"/>
          <w:bottom w:val="nil"/>
          <w:right w:val="nil"/>
          <w:insideH w:val="nil"/>
          <w:insideV w:val="nil"/>
        </w:tcBorders>
        <w:shd w:val="clear" w:color="auto" w:fill="5B8900" w:themeFill="accent3" w:themeFillShade="BF"/>
      </w:tcPr>
    </w:tblStylePr>
    <w:tblStylePr w:type="band1Horz">
      <w:tblPr/>
      <w:tcPr>
        <w:tcBorders>
          <w:top w:val="nil"/>
          <w:left w:val="nil"/>
          <w:bottom w:val="nil"/>
          <w:right w:val="nil"/>
          <w:insideH w:val="nil"/>
          <w:insideV w:val="nil"/>
        </w:tcBorders>
        <w:shd w:val="clear" w:color="auto" w:fill="5B8900" w:themeFill="accent3" w:themeFillShade="BF"/>
      </w:tcPr>
    </w:tblStylePr>
  </w:style>
  <w:style w:type="table" w:styleId="DarkList-Accent4">
    <w:name w:val="Dark List Accent 4"/>
    <w:basedOn w:val="TableNormal"/>
    <w:uiPriority w:val="70"/>
    <w:locked/>
    <w:rsid w:val="00F80750"/>
    <w:pPr>
      <w:spacing w:after="0"/>
    </w:pPr>
    <w:rPr>
      <w:color w:val="FFFFFF" w:themeColor="background1"/>
    </w:rPr>
    <w:tblPr>
      <w:tblStyleRowBandSize w:val="1"/>
      <w:tblStyleColBandSize w:val="1"/>
    </w:tblPr>
    <w:tcPr>
      <w:shd w:val="clear" w:color="auto" w:fill="00ADD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567"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819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819B" w:themeFill="accent4" w:themeFillShade="BF"/>
      </w:tcPr>
    </w:tblStylePr>
    <w:tblStylePr w:type="band1Vert">
      <w:tblPr/>
      <w:tcPr>
        <w:tcBorders>
          <w:top w:val="nil"/>
          <w:left w:val="nil"/>
          <w:bottom w:val="nil"/>
          <w:right w:val="nil"/>
          <w:insideH w:val="nil"/>
          <w:insideV w:val="nil"/>
        </w:tcBorders>
        <w:shd w:val="clear" w:color="auto" w:fill="00819B" w:themeFill="accent4" w:themeFillShade="BF"/>
      </w:tcPr>
    </w:tblStylePr>
    <w:tblStylePr w:type="band1Horz">
      <w:tblPr/>
      <w:tcPr>
        <w:tcBorders>
          <w:top w:val="nil"/>
          <w:left w:val="nil"/>
          <w:bottom w:val="nil"/>
          <w:right w:val="nil"/>
          <w:insideH w:val="nil"/>
          <w:insideV w:val="nil"/>
        </w:tcBorders>
        <w:shd w:val="clear" w:color="auto" w:fill="00819B" w:themeFill="accent4" w:themeFillShade="BF"/>
      </w:tcPr>
    </w:tblStylePr>
  </w:style>
  <w:style w:type="table" w:styleId="DarkList-Accent5">
    <w:name w:val="Dark List Accent 5"/>
    <w:basedOn w:val="TableNormal"/>
    <w:uiPriority w:val="70"/>
    <w:locked/>
    <w:rsid w:val="00F80750"/>
    <w:pPr>
      <w:spacing w:after="0"/>
    </w:pPr>
    <w:rPr>
      <w:color w:val="FFFFFF" w:themeColor="background1"/>
    </w:rPr>
    <w:tblPr>
      <w:tblStyleRowBandSize w:val="1"/>
      <w:tblStyleColBandSize w:val="1"/>
    </w:tblPr>
    <w:tcPr>
      <w:shd w:val="clear" w:color="auto" w:fill="DCDED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A717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2A8A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2A8A8" w:themeFill="accent5" w:themeFillShade="BF"/>
      </w:tcPr>
    </w:tblStylePr>
    <w:tblStylePr w:type="band1Vert">
      <w:tblPr/>
      <w:tcPr>
        <w:tcBorders>
          <w:top w:val="nil"/>
          <w:left w:val="nil"/>
          <w:bottom w:val="nil"/>
          <w:right w:val="nil"/>
          <w:insideH w:val="nil"/>
          <w:insideV w:val="nil"/>
        </w:tcBorders>
        <w:shd w:val="clear" w:color="auto" w:fill="A2A8A8" w:themeFill="accent5" w:themeFillShade="BF"/>
      </w:tcPr>
    </w:tblStylePr>
    <w:tblStylePr w:type="band1Horz">
      <w:tblPr/>
      <w:tcPr>
        <w:tcBorders>
          <w:top w:val="nil"/>
          <w:left w:val="nil"/>
          <w:bottom w:val="nil"/>
          <w:right w:val="nil"/>
          <w:insideH w:val="nil"/>
          <w:insideV w:val="nil"/>
        </w:tcBorders>
        <w:shd w:val="clear" w:color="auto" w:fill="A2A8A8" w:themeFill="accent5" w:themeFillShade="BF"/>
      </w:tcPr>
    </w:tblStylePr>
  </w:style>
  <w:style w:type="table" w:styleId="DarkList-Accent6">
    <w:name w:val="Dark List Accent 6"/>
    <w:basedOn w:val="TableNormal"/>
    <w:uiPriority w:val="70"/>
    <w:locked/>
    <w:rsid w:val="00F80750"/>
    <w:pPr>
      <w:spacing w:after="0"/>
    </w:pPr>
    <w:rPr>
      <w:color w:val="FFFFFF" w:themeColor="background1"/>
    </w:rPr>
    <w:tblPr>
      <w:tblStyleRowBandSize w:val="1"/>
      <w:tblStyleColBandSize w:val="1"/>
    </w:tblPr>
    <w:tcPr>
      <w:shd w:val="clear" w:color="auto" w:fill="00819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F4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607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6074" w:themeFill="accent6" w:themeFillShade="BF"/>
      </w:tcPr>
    </w:tblStylePr>
    <w:tblStylePr w:type="band1Vert">
      <w:tblPr/>
      <w:tcPr>
        <w:tcBorders>
          <w:top w:val="nil"/>
          <w:left w:val="nil"/>
          <w:bottom w:val="nil"/>
          <w:right w:val="nil"/>
          <w:insideH w:val="nil"/>
          <w:insideV w:val="nil"/>
        </w:tcBorders>
        <w:shd w:val="clear" w:color="auto" w:fill="006074" w:themeFill="accent6" w:themeFillShade="BF"/>
      </w:tcPr>
    </w:tblStylePr>
    <w:tblStylePr w:type="band1Horz">
      <w:tblPr/>
      <w:tcPr>
        <w:tcBorders>
          <w:top w:val="nil"/>
          <w:left w:val="nil"/>
          <w:bottom w:val="nil"/>
          <w:right w:val="nil"/>
          <w:insideH w:val="nil"/>
          <w:insideV w:val="nil"/>
        </w:tcBorders>
        <w:shd w:val="clear" w:color="auto" w:fill="006074" w:themeFill="accent6" w:themeFillShade="BF"/>
      </w:tcPr>
    </w:tblStylePr>
  </w:style>
  <w:style w:type="paragraph" w:styleId="Date">
    <w:name w:val="Date"/>
    <w:basedOn w:val="Normal"/>
    <w:next w:val="Normal"/>
    <w:link w:val="DateChar"/>
    <w:uiPriority w:val="41"/>
    <w:locked/>
    <w:rsid w:val="00725949"/>
    <w:pPr>
      <w:spacing w:after="480"/>
      <w:contextualSpacing/>
    </w:pPr>
  </w:style>
  <w:style w:type="character" w:customStyle="1" w:styleId="DateChar">
    <w:name w:val="Date Char"/>
    <w:basedOn w:val="DefaultParagraphFont"/>
    <w:link w:val="Date"/>
    <w:uiPriority w:val="41"/>
    <w:rsid w:val="00725949"/>
  </w:style>
  <w:style w:type="paragraph" w:styleId="DocumentMap">
    <w:name w:val="Document Map"/>
    <w:basedOn w:val="Normal"/>
    <w:link w:val="DocumentMapChar"/>
    <w:uiPriority w:val="99"/>
    <w:semiHidden/>
    <w:unhideWhenUsed/>
    <w:locked/>
    <w:rsid w:val="00F80750"/>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F80750"/>
    <w:rPr>
      <w:rFonts w:ascii="Tahoma" w:hAnsi="Tahoma" w:cs="Tahoma"/>
      <w:noProof w:val="0"/>
      <w:sz w:val="16"/>
      <w:szCs w:val="16"/>
      <w:lang w:val="en-AU"/>
    </w:rPr>
  </w:style>
  <w:style w:type="paragraph" w:styleId="E-mailSignature">
    <w:name w:val="E-mail Signature"/>
    <w:basedOn w:val="Normal"/>
    <w:link w:val="E-mailSignatureChar"/>
    <w:uiPriority w:val="99"/>
    <w:semiHidden/>
    <w:unhideWhenUsed/>
    <w:locked/>
    <w:rsid w:val="00F80750"/>
    <w:pPr>
      <w:spacing w:after="0"/>
    </w:pPr>
  </w:style>
  <w:style w:type="character" w:customStyle="1" w:styleId="E-mailSignatureChar">
    <w:name w:val="E-mail Signature Char"/>
    <w:basedOn w:val="DefaultParagraphFont"/>
    <w:link w:val="E-mailSignature"/>
    <w:uiPriority w:val="99"/>
    <w:semiHidden/>
    <w:rsid w:val="00F80750"/>
    <w:rPr>
      <w:noProof w:val="0"/>
      <w:lang w:val="en-AU"/>
    </w:rPr>
  </w:style>
  <w:style w:type="character" w:styleId="Emphasis">
    <w:name w:val="Emphasis"/>
    <w:basedOn w:val="DefaultParagraphFont"/>
    <w:uiPriority w:val="20"/>
    <w:qFormat/>
    <w:locked/>
    <w:rsid w:val="00F80750"/>
    <w:rPr>
      <w:i/>
      <w:iCs/>
      <w:noProof w:val="0"/>
      <w:lang w:val="en-AU"/>
    </w:rPr>
  </w:style>
  <w:style w:type="character" w:styleId="EndnoteReference">
    <w:name w:val="endnote reference"/>
    <w:basedOn w:val="DefaultParagraphFont"/>
    <w:uiPriority w:val="99"/>
    <w:rsid w:val="00E64743"/>
    <w:rPr>
      <w:noProof w:val="0"/>
      <w:sz w:val="16"/>
      <w:vertAlign w:val="superscript"/>
      <w:lang w:val="en-AU"/>
    </w:rPr>
  </w:style>
  <w:style w:type="paragraph" w:styleId="EndnoteText">
    <w:name w:val="endnote text"/>
    <w:basedOn w:val="Normal"/>
    <w:link w:val="EndnoteTextChar"/>
    <w:uiPriority w:val="99"/>
    <w:rsid w:val="00E64743"/>
    <w:pPr>
      <w:spacing w:after="0"/>
    </w:pPr>
    <w:rPr>
      <w:sz w:val="16"/>
    </w:rPr>
  </w:style>
  <w:style w:type="character" w:customStyle="1" w:styleId="EndnoteTextChar">
    <w:name w:val="Endnote Text Char"/>
    <w:basedOn w:val="DefaultParagraphFont"/>
    <w:link w:val="EndnoteText"/>
    <w:uiPriority w:val="99"/>
    <w:rsid w:val="00E64743"/>
    <w:rPr>
      <w:sz w:val="16"/>
      <w:szCs w:val="20"/>
    </w:rPr>
  </w:style>
  <w:style w:type="paragraph" w:styleId="EnvelopeAddress">
    <w:name w:val="envelope address"/>
    <w:basedOn w:val="Normal"/>
    <w:uiPriority w:val="99"/>
    <w:semiHidden/>
    <w:unhideWhenUsed/>
    <w:locked/>
    <w:rsid w:val="00F80750"/>
    <w:pPr>
      <w:framePr w:w="7920" w:h="1980" w:hRule="exact" w:hSpace="180" w:wrap="auto" w:hAnchor="page" w:xAlign="center" w:yAlign="bottom"/>
      <w:spacing w:after="0"/>
      <w:ind w:left="2880"/>
    </w:pPr>
    <w:rPr>
      <w:rFonts w:asciiTheme="majorHAnsi" w:eastAsiaTheme="majorEastAsia" w:hAnsiTheme="majorHAnsi" w:cstheme="majorBidi"/>
    </w:rPr>
  </w:style>
  <w:style w:type="paragraph" w:styleId="EnvelopeReturn">
    <w:name w:val="envelope return"/>
    <w:basedOn w:val="Normal"/>
    <w:uiPriority w:val="99"/>
    <w:semiHidden/>
    <w:unhideWhenUsed/>
    <w:locked/>
    <w:rsid w:val="00F80750"/>
    <w:pPr>
      <w:spacing w:after="0"/>
    </w:pPr>
    <w:rPr>
      <w:rFonts w:asciiTheme="majorHAnsi" w:eastAsiaTheme="majorEastAsia" w:hAnsiTheme="majorHAnsi" w:cstheme="majorBidi"/>
    </w:rPr>
  </w:style>
  <w:style w:type="character" w:styleId="FollowedHyperlink">
    <w:name w:val="FollowedHyperlink"/>
    <w:basedOn w:val="DefaultParagraphFont"/>
    <w:uiPriority w:val="99"/>
    <w:rsid w:val="00F80750"/>
    <w:rPr>
      <w:noProof w:val="0"/>
      <w:color w:val="7030A0" w:themeColor="followedHyperlink"/>
      <w:u w:val="single"/>
      <w:lang w:val="en-AU"/>
    </w:rPr>
  </w:style>
  <w:style w:type="character" w:styleId="FootnoteReference">
    <w:name w:val="footnote reference"/>
    <w:basedOn w:val="DefaultParagraphFont"/>
    <w:uiPriority w:val="99"/>
    <w:rsid w:val="00E64743"/>
    <w:rPr>
      <w:noProof w:val="0"/>
      <w:sz w:val="16"/>
      <w:vertAlign w:val="superscript"/>
      <w:lang w:val="en-AU"/>
    </w:rPr>
  </w:style>
  <w:style w:type="paragraph" w:styleId="FootnoteText">
    <w:name w:val="footnote text"/>
    <w:basedOn w:val="Normal"/>
    <w:link w:val="FootnoteTextChar"/>
    <w:uiPriority w:val="99"/>
    <w:rsid w:val="00BA2941"/>
    <w:pPr>
      <w:spacing w:after="0"/>
      <w:ind w:left="170" w:hanging="170"/>
    </w:pPr>
    <w:rPr>
      <w:sz w:val="16"/>
    </w:rPr>
  </w:style>
  <w:style w:type="character" w:customStyle="1" w:styleId="FootnoteTextChar">
    <w:name w:val="Footnote Text Char"/>
    <w:basedOn w:val="DefaultParagraphFont"/>
    <w:link w:val="FootnoteText"/>
    <w:uiPriority w:val="99"/>
    <w:rsid w:val="00BA2941"/>
    <w:rPr>
      <w:sz w:val="16"/>
    </w:rPr>
  </w:style>
  <w:style w:type="character" w:customStyle="1" w:styleId="Heading5Char">
    <w:name w:val="Heading 5 Char"/>
    <w:basedOn w:val="DefaultParagraphFont"/>
    <w:link w:val="Heading5"/>
    <w:uiPriority w:val="9"/>
    <w:rsid w:val="001F7277"/>
    <w:rPr>
      <w:rFonts w:asciiTheme="majorHAnsi" w:eastAsiaTheme="majorEastAsia" w:hAnsiTheme="majorHAnsi" w:cstheme="majorBidi"/>
      <w:color w:val="000000" w:themeColor="text1"/>
    </w:rPr>
  </w:style>
  <w:style w:type="character" w:customStyle="1" w:styleId="Heading6Char">
    <w:name w:val="Heading 6 Char"/>
    <w:basedOn w:val="DefaultParagraphFont"/>
    <w:link w:val="Heading6"/>
    <w:uiPriority w:val="9"/>
    <w:semiHidden/>
    <w:rsid w:val="00AC6C84"/>
    <w:rPr>
      <w:rFonts w:asciiTheme="majorHAnsi" w:eastAsiaTheme="majorEastAsia" w:hAnsiTheme="majorHAnsi" w:cstheme="majorBidi"/>
      <w:iCs/>
    </w:rPr>
  </w:style>
  <w:style w:type="character" w:customStyle="1" w:styleId="Heading7Char">
    <w:name w:val="Heading 7 Char"/>
    <w:basedOn w:val="DefaultParagraphFont"/>
    <w:link w:val="Heading7"/>
    <w:uiPriority w:val="9"/>
    <w:semiHidden/>
    <w:rsid w:val="00AC6C84"/>
    <w:rPr>
      <w:rFonts w:asciiTheme="majorHAnsi" w:eastAsiaTheme="majorEastAsia" w:hAnsiTheme="majorHAnsi" w:cstheme="majorBidi"/>
      <w:iCs/>
    </w:rPr>
  </w:style>
  <w:style w:type="character" w:customStyle="1" w:styleId="Heading8Char">
    <w:name w:val="Heading 8 Char"/>
    <w:basedOn w:val="DefaultParagraphFont"/>
    <w:link w:val="Heading8"/>
    <w:uiPriority w:val="9"/>
    <w:semiHidden/>
    <w:rsid w:val="00AC6C84"/>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AC6C84"/>
    <w:rPr>
      <w:rFonts w:asciiTheme="majorHAnsi" w:eastAsiaTheme="majorEastAsia" w:hAnsiTheme="majorHAnsi" w:cstheme="majorBidi"/>
      <w:iCs/>
      <w:color w:val="404040" w:themeColor="text1" w:themeTint="BF"/>
    </w:rPr>
  </w:style>
  <w:style w:type="character" w:styleId="HTMLAcronym">
    <w:name w:val="HTML Acronym"/>
    <w:basedOn w:val="DefaultParagraphFont"/>
    <w:uiPriority w:val="99"/>
    <w:semiHidden/>
    <w:unhideWhenUsed/>
    <w:locked/>
    <w:rsid w:val="00F80750"/>
    <w:rPr>
      <w:noProof w:val="0"/>
      <w:lang w:val="en-AU"/>
    </w:rPr>
  </w:style>
  <w:style w:type="paragraph" w:styleId="HTMLAddress">
    <w:name w:val="HTML Address"/>
    <w:basedOn w:val="Normal"/>
    <w:link w:val="HTMLAddressChar"/>
    <w:uiPriority w:val="99"/>
    <w:semiHidden/>
    <w:unhideWhenUsed/>
    <w:locked/>
    <w:rsid w:val="00F80750"/>
    <w:pPr>
      <w:spacing w:after="0"/>
    </w:pPr>
    <w:rPr>
      <w:i/>
      <w:iCs/>
    </w:rPr>
  </w:style>
  <w:style w:type="character" w:customStyle="1" w:styleId="HTMLAddressChar">
    <w:name w:val="HTML Address Char"/>
    <w:basedOn w:val="DefaultParagraphFont"/>
    <w:link w:val="HTMLAddress"/>
    <w:uiPriority w:val="99"/>
    <w:semiHidden/>
    <w:rsid w:val="00F80750"/>
    <w:rPr>
      <w:i/>
      <w:iCs/>
      <w:noProof w:val="0"/>
      <w:lang w:val="en-AU"/>
    </w:rPr>
  </w:style>
  <w:style w:type="character" w:styleId="HTMLCite">
    <w:name w:val="HTML Cite"/>
    <w:basedOn w:val="DefaultParagraphFont"/>
    <w:uiPriority w:val="99"/>
    <w:semiHidden/>
    <w:unhideWhenUsed/>
    <w:locked/>
    <w:rsid w:val="00F80750"/>
    <w:rPr>
      <w:i/>
      <w:iCs/>
      <w:noProof w:val="0"/>
      <w:lang w:val="en-AU"/>
    </w:rPr>
  </w:style>
  <w:style w:type="character" w:styleId="HTMLCode">
    <w:name w:val="HTML Code"/>
    <w:basedOn w:val="DefaultParagraphFont"/>
    <w:uiPriority w:val="99"/>
    <w:semiHidden/>
    <w:unhideWhenUsed/>
    <w:locked/>
    <w:rsid w:val="00F80750"/>
    <w:rPr>
      <w:rFonts w:ascii="Consolas" w:hAnsi="Consolas"/>
      <w:noProof w:val="0"/>
      <w:sz w:val="20"/>
      <w:szCs w:val="20"/>
      <w:lang w:val="en-AU"/>
    </w:rPr>
  </w:style>
  <w:style w:type="character" w:styleId="HTMLDefinition">
    <w:name w:val="HTML Definition"/>
    <w:basedOn w:val="DefaultParagraphFont"/>
    <w:uiPriority w:val="99"/>
    <w:semiHidden/>
    <w:unhideWhenUsed/>
    <w:locked/>
    <w:rsid w:val="00F80750"/>
    <w:rPr>
      <w:i/>
      <w:iCs/>
      <w:noProof w:val="0"/>
      <w:lang w:val="en-AU"/>
    </w:rPr>
  </w:style>
  <w:style w:type="character" w:styleId="HTMLKeyboard">
    <w:name w:val="HTML Keyboard"/>
    <w:basedOn w:val="DefaultParagraphFont"/>
    <w:uiPriority w:val="99"/>
    <w:semiHidden/>
    <w:unhideWhenUsed/>
    <w:locked/>
    <w:rsid w:val="00F80750"/>
    <w:rPr>
      <w:rFonts w:ascii="Consolas" w:hAnsi="Consolas"/>
      <w:noProof w:val="0"/>
      <w:sz w:val="20"/>
      <w:szCs w:val="20"/>
      <w:lang w:val="en-AU"/>
    </w:rPr>
  </w:style>
  <w:style w:type="paragraph" w:styleId="HTMLPreformatted">
    <w:name w:val="HTML Preformatted"/>
    <w:basedOn w:val="Normal"/>
    <w:link w:val="HTMLPreformattedChar"/>
    <w:uiPriority w:val="99"/>
    <w:semiHidden/>
    <w:unhideWhenUsed/>
    <w:locked/>
    <w:rsid w:val="00F80750"/>
    <w:pPr>
      <w:spacing w:after="0"/>
    </w:pPr>
    <w:rPr>
      <w:rFonts w:ascii="Consolas" w:hAnsi="Consolas"/>
    </w:rPr>
  </w:style>
  <w:style w:type="character" w:customStyle="1" w:styleId="HTMLPreformattedChar">
    <w:name w:val="HTML Preformatted Char"/>
    <w:basedOn w:val="DefaultParagraphFont"/>
    <w:link w:val="HTMLPreformatted"/>
    <w:uiPriority w:val="99"/>
    <w:semiHidden/>
    <w:rsid w:val="00F80750"/>
    <w:rPr>
      <w:rFonts w:ascii="Consolas" w:hAnsi="Consolas"/>
      <w:noProof w:val="0"/>
      <w:sz w:val="20"/>
      <w:szCs w:val="20"/>
      <w:lang w:val="en-AU"/>
    </w:rPr>
  </w:style>
  <w:style w:type="character" w:styleId="HTMLSample">
    <w:name w:val="HTML Sample"/>
    <w:basedOn w:val="DefaultParagraphFont"/>
    <w:uiPriority w:val="99"/>
    <w:semiHidden/>
    <w:unhideWhenUsed/>
    <w:locked/>
    <w:rsid w:val="00F80750"/>
    <w:rPr>
      <w:rFonts w:ascii="Consolas" w:hAnsi="Consolas"/>
      <w:noProof w:val="0"/>
      <w:sz w:val="24"/>
      <w:szCs w:val="24"/>
      <w:lang w:val="en-AU"/>
    </w:rPr>
  </w:style>
  <w:style w:type="character" w:styleId="HTMLTypewriter">
    <w:name w:val="HTML Typewriter"/>
    <w:basedOn w:val="DefaultParagraphFont"/>
    <w:uiPriority w:val="99"/>
    <w:semiHidden/>
    <w:unhideWhenUsed/>
    <w:locked/>
    <w:rsid w:val="00F80750"/>
    <w:rPr>
      <w:rFonts w:ascii="Consolas" w:hAnsi="Consolas"/>
      <w:noProof w:val="0"/>
      <w:sz w:val="20"/>
      <w:szCs w:val="20"/>
      <w:lang w:val="en-AU"/>
    </w:rPr>
  </w:style>
  <w:style w:type="character" w:styleId="HTMLVariable">
    <w:name w:val="HTML Variable"/>
    <w:basedOn w:val="DefaultParagraphFont"/>
    <w:uiPriority w:val="99"/>
    <w:semiHidden/>
    <w:unhideWhenUsed/>
    <w:locked/>
    <w:rsid w:val="00F80750"/>
    <w:rPr>
      <w:i/>
      <w:iCs/>
      <w:noProof w:val="0"/>
      <w:lang w:val="en-AU"/>
    </w:rPr>
  </w:style>
  <w:style w:type="paragraph" w:styleId="Index1">
    <w:name w:val="index 1"/>
    <w:basedOn w:val="Normal"/>
    <w:next w:val="Normal"/>
    <w:autoRedefine/>
    <w:uiPriority w:val="99"/>
    <w:semiHidden/>
    <w:unhideWhenUsed/>
    <w:locked/>
    <w:rsid w:val="00F80750"/>
    <w:pPr>
      <w:spacing w:after="0"/>
      <w:ind w:left="190" w:hanging="190"/>
    </w:pPr>
  </w:style>
  <w:style w:type="paragraph" w:styleId="Index2">
    <w:name w:val="index 2"/>
    <w:basedOn w:val="Normal"/>
    <w:next w:val="Normal"/>
    <w:autoRedefine/>
    <w:uiPriority w:val="99"/>
    <w:semiHidden/>
    <w:unhideWhenUsed/>
    <w:locked/>
    <w:rsid w:val="00F80750"/>
    <w:pPr>
      <w:spacing w:after="0"/>
      <w:ind w:left="380" w:hanging="190"/>
    </w:pPr>
  </w:style>
  <w:style w:type="paragraph" w:styleId="Index3">
    <w:name w:val="index 3"/>
    <w:basedOn w:val="Normal"/>
    <w:next w:val="Normal"/>
    <w:autoRedefine/>
    <w:uiPriority w:val="99"/>
    <w:semiHidden/>
    <w:unhideWhenUsed/>
    <w:locked/>
    <w:rsid w:val="00F80750"/>
    <w:pPr>
      <w:spacing w:after="0"/>
      <w:ind w:left="570" w:hanging="190"/>
    </w:pPr>
  </w:style>
  <w:style w:type="paragraph" w:styleId="Index4">
    <w:name w:val="index 4"/>
    <w:basedOn w:val="Normal"/>
    <w:next w:val="Normal"/>
    <w:autoRedefine/>
    <w:uiPriority w:val="99"/>
    <w:semiHidden/>
    <w:unhideWhenUsed/>
    <w:locked/>
    <w:rsid w:val="00F80750"/>
    <w:pPr>
      <w:spacing w:after="0"/>
      <w:ind w:left="760" w:hanging="190"/>
    </w:pPr>
  </w:style>
  <w:style w:type="paragraph" w:styleId="Index5">
    <w:name w:val="index 5"/>
    <w:basedOn w:val="Normal"/>
    <w:next w:val="Normal"/>
    <w:autoRedefine/>
    <w:uiPriority w:val="99"/>
    <w:semiHidden/>
    <w:unhideWhenUsed/>
    <w:locked/>
    <w:rsid w:val="00F80750"/>
    <w:pPr>
      <w:spacing w:after="0"/>
      <w:ind w:left="950" w:hanging="190"/>
    </w:pPr>
  </w:style>
  <w:style w:type="paragraph" w:styleId="Index6">
    <w:name w:val="index 6"/>
    <w:basedOn w:val="Normal"/>
    <w:next w:val="Normal"/>
    <w:autoRedefine/>
    <w:uiPriority w:val="99"/>
    <w:semiHidden/>
    <w:unhideWhenUsed/>
    <w:locked/>
    <w:rsid w:val="00F80750"/>
    <w:pPr>
      <w:spacing w:after="0"/>
      <w:ind w:left="1140" w:hanging="190"/>
    </w:pPr>
  </w:style>
  <w:style w:type="paragraph" w:styleId="Index7">
    <w:name w:val="index 7"/>
    <w:basedOn w:val="Normal"/>
    <w:next w:val="Normal"/>
    <w:autoRedefine/>
    <w:uiPriority w:val="99"/>
    <w:semiHidden/>
    <w:unhideWhenUsed/>
    <w:locked/>
    <w:rsid w:val="00F80750"/>
    <w:pPr>
      <w:spacing w:after="0"/>
      <w:ind w:left="1330" w:hanging="190"/>
    </w:pPr>
  </w:style>
  <w:style w:type="paragraph" w:styleId="Index8">
    <w:name w:val="index 8"/>
    <w:basedOn w:val="Normal"/>
    <w:next w:val="Normal"/>
    <w:autoRedefine/>
    <w:uiPriority w:val="99"/>
    <w:semiHidden/>
    <w:unhideWhenUsed/>
    <w:locked/>
    <w:rsid w:val="00F80750"/>
    <w:pPr>
      <w:spacing w:after="0"/>
      <w:ind w:left="1520" w:hanging="190"/>
    </w:pPr>
  </w:style>
  <w:style w:type="paragraph" w:styleId="Index9">
    <w:name w:val="index 9"/>
    <w:basedOn w:val="Normal"/>
    <w:next w:val="Normal"/>
    <w:autoRedefine/>
    <w:uiPriority w:val="99"/>
    <w:semiHidden/>
    <w:unhideWhenUsed/>
    <w:locked/>
    <w:rsid w:val="00F80750"/>
    <w:pPr>
      <w:spacing w:after="0"/>
      <w:ind w:left="1710" w:hanging="190"/>
    </w:pPr>
  </w:style>
  <w:style w:type="paragraph" w:styleId="IndexHeading">
    <w:name w:val="index heading"/>
    <w:basedOn w:val="Normal"/>
    <w:next w:val="Index1"/>
    <w:uiPriority w:val="99"/>
    <w:semiHidden/>
    <w:unhideWhenUsed/>
    <w:locked/>
    <w:rsid w:val="00F80750"/>
    <w:rPr>
      <w:rFonts w:asciiTheme="majorHAnsi" w:eastAsiaTheme="majorEastAsia" w:hAnsiTheme="majorHAnsi" w:cstheme="majorBidi"/>
      <w:b/>
      <w:bCs/>
    </w:rPr>
  </w:style>
  <w:style w:type="character" w:styleId="IntenseEmphasis">
    <w:name w:val="Intense Emphasis"/>
    <w:basedOn w:val="DefaultParagraphFont"/>
    <w:uiPriority w:val="21"/>
    <w:qFormat/>
    <w:locked/>
    <w:rsid w:val="00F80750"/>
    <w:rPr>
      <w:b/>
      <w:bCs/>
      <w:i/>
      <w:iCs/>
      <w:noProof w:val="0"/>
      <w:color w:val="FF6319" w:themeColor="accent1"/>
      <w:lang w:val="en-AU"/>
    </w:rPr>
  </w:style>
  <w:style w:type="paragraph" w:styleId="IntenseQuote">
    <w:name w:val="Intense Quote"/>
    <w:basedOn w:val="Normal"/>
    <w:next w:val="Normal"/>
    <w:link w:val="IntenseQuoteChar"/>
    <w:uiPriority w:val="30"/>
    <w:qFormat/>
    <w:locked/>
    <w:rsid w:val="00F80750"/>
    <w:pPr>
      <w:pBdr>
        <w:bottom w:val="single" w:sz="4" w:space="4" w:color="FF6319" w:themeColor="accent1"/>
      </w:pBdr>
      <w:spacing w:before="200" w:after="280"/>
      <w:ind w:left="936" w:right="936"/>
    </w:pPr>
    <w:rPr>
      <w:b/>
      <w:bCs/>
      <w:i/>
      <w:iCs/>
      <w:color w:val="FF6319" w:themeColor="accent1"/>
    </w:rPr>
  </w:style>
  <w:style w:type="character" w:customStyle="1" w:styleId="IntenseQuoteChar">
    <w:name w:val="Intense Quote Char"/>
    <w:basedOn w:val="DefaultParagraphFont"/>
    <w:link w:val="IntenseQuote"/>
    <w:uiPriority w:val="30"/>
    <w:rsid w:val="00F80750"/>
    <w:rPr>
      <w:b/>
      <w:bCs/>
      <w:i/>
      <w:iCs/>
      <w:noProof w:val="0"/>
      <w:color w:val="FF6319" w:themeColor="accent1"/>
      <w:lang w:val="en-AU"/>
    </w:rPr>
  </w:style>
  <w:style w:type="character" w:styleId="IntenseReference">
    <w:name w:val="Intense Reference"/>
    <w:basedOn w:val="DefaultParagraphFont"/>
    <w:uiPriority w:val="32"/>
    <w:qFormat/>
    <w:locked/>
    <w:rsid w:val="00F80750"/>
    <w:rPr>
      <w:b/>
      <w:bCs/>
      <w:smallCaps/>
      <w:noProof w:val="0"/>
      <w:color w:val="565A5C" w:themeColor="accent2"/>
      <w:spacing w:val="5"/>
      <w:u w:val="single"/>
      <w:lang w:val="en-AU"/>
    </w:rPr>
  </w:style>
  <w:style w:type="table" w:styleId="LightGrid">
    <w:name w:val="Light Grid"/>
    <w:basedOn w:val="TableNormal"/>
    <w:uiPriority w:val="62"/>
    <w:locked/>
    <w:rsid w:val="00F80750"/>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locked/>
    <w:rsid w:val="00F80750"/>
    <w:pPr>
      <w:spacing w:after="0"/>
    </w:pPr>
    <w:tblPr>
      <w:tblStyleRowBandSize w:val="1"/>
      <w:tblStyleColBandSize w:val="1"/>
      <w:tblBorders>
        <w:top w:val="single" w:sz="8" w:space="0" w:color="FF6319" w:themeColor="accent1"/>
        <w:left w:val="single" w:sz="8" w:space="0" w:color="FF6319" w:themeColor="accent1"/>
        <w:bottom w:val="single" w:sz="8" w:space="0" w:color="FF6319" w:themeColor="accent1"/>
        <w:right w:val="single" w:sz="8" w:space="0" w:color="FF6319" w:themeColor="accent1"/>
        <w:insideH w:val="single" w:sz="8" w:space="0" w:color="FF6319" w:themeColor="accent1"/>
        <w:insideV w:val="single" w:sz="8" w:space="0" w:color="FF631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6319" w:themeColor="accent1"/>
          <w:left w:val="single" w:sz="8" w:space="0" w:color="FF6319" w:themeColor="accent1"/>
          <w:bottom w:val="single" w:sz="18" w:space="0" w:color="FF6319" w:themeColor="accent1"/>
          <w:right w:val="single" w:sz="8" w:space="0" w:color="FF6319" w:themeColor="accent1"/>
          <w:insideH w:val="nil"/>
          <w:insideV w:val="single" w:sz="8" w:space="0" w:color="FF631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6319" w:themeColor="accent1"/>
          <w:left w:val="single" w:sz="8" w:space="0" w:color="FF6319" w:themeColor="accent1"/>
          <w:bottom w:val="single" w:sz="8" w:space="0" w:color="FF6319" w:themeColor="accent1"/>
          <w:right w:val="single" w:sz="8" w:space="0" w:color="FF6319" w:themeColor="accent1"/>
          <w:insideH w:val="nil"/>
          <w:insideV w:val="single" w:sz="8" w:space="0" w:color="FF631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6319" w:themeColor="accent1"/>
          <w:left w:val="single" w:sz="8" w:space="0" w:color="FF6319" w:themeColor="accent1"/>
          <w:bottom w:val="single" w:sz="8" w:space="0" w:color="FF6319" w:themeColor="accent1"/>
          <w:right w:val="single" w:sz="8" w:space="0" w:color="FF6319" w:themeColor="accent1"/>
        </w:tcBorders>
      </w:tcPr>
    </w:tblStylePr>
    <w:tblStylePr w:type="band1Vert">
      <w:tblPr/>
      <w:tcPr>
        <w:tcBorders>
          <w:top w:val="single" w:sz="8" w:space="0" w:color="FF6319" w:themeColor="accent1"/>
          <w:left w:val="single" w:sz="8" w:space="0" w:color="FF6319" w:themeColor="accent1"/>
          <w:bottom w:val="single" w:sz="8" w:space="0" w:color="FF6319" w:themeColor="accent1"/>
          <w:right w:val="single" w:sz="8" w:space="0" w:color="FF6319" w:themeColor="accent1"/>
        </w:tcBorders>
        <w:shd w:val="clear" w:color="auto" w:fill="FFD8C6" w:themeFill="accent1" w:themeFillTint="3F"/>
      </w:tcPr>
    </w:tblStylePr>
    <w:tblStylePr w:type="band1Horz">
      <w:tblPr/>
      <w:tcPr>
        <w:tcBorders>
          <w:top w:val="single" w:sz="8" w:space="0" w:color="FF6319" w:themeColor="accent1"/>
          <w:left w:val="single" w:sz="8" w:space="0" w:color="FF6319" w:themeColor="accent1"/>
          <w:bottom w:val="single" w:sz="8" w:space="0" w:color="FF6319" w:themeColor="accent1"/>
          <w:right w:val="single" w:sz="8" w:space="0" w:color="FF6319" w:themeColor="accent1"/>
          <w:insideV w:val="single" w:sz="8" w:space="0" w:color="FF6319" w:themeColor="accent1"/>
        </w:tcBorders>
        <w:shd w:val="clear" w:color="auto" w:fill="FFD8C6" w:themeFill="accent1" w:themeFillTint="3F"/>
      </w:tcPr>
    </w:tblStylePr>
    <w:tblStylePr w:type="band2Horz">
      <w:tblPr/>
      <w:tcPr>
        <w:tcBorders>
          <w:top w:val="single" w:sz="8" w:space="0" w:color="FF6319" w:themeColor="accent1"/>
          <w:left w:val="single" w:sz="8" w:space="0" w:color="FF6319" w:themeColor="accent1"/>
          <w:bottom w:val="single" w:sz="8" w:space="0" w:color="FF6319" w:themeColor="accent1"/>
          <w:right w:val="single" w:sz="8" w:space="0" w:color="FF6319" w:themeColor="accent1"/>
          <w:insideV w:val="single" w:sz="8" w:space="0" w:color="FF6319" w:themeColor="accent1"/>
        </w:tcBorders>
      </w:tcPr>
    </w:tblStylePr>
  </w:style>
  <w:style w:type="table" w:styleId="LightGrid-Accent2">
    <w:name w:val="Light Grid Accent 2"/>
    <w:basedOn w:val="TableNormal"/>
    <w:uiPriority w:val="62"/>
    <w:locked/>
    <w:rsid w:val="00F80750"/>
    <w:pPr>
      <w:spacing w:after="0"/>
    </w:pPr>
    <w:tblPr>
      <w:tblStyleRowBandSize w:val="1"/>
      <w:tblStyleColBandSize w:val="1"/>
      <w:tblBorders>
        <w:top w:val="single" w:sz="8" w:space="0" w:color="565A5C" w:themeColor="accent2"/>
        <w:left w:val="single" w:sz="8" w:space="0" w:color="565A5C" w:themeColor="accent2"/>
        <w:bottom w:val="single" w:sz="8" w:space="0" w:color="565A5C" w:themeColor="accent2"/>
        <w:right w:val="single" w:sz="8" w:space="0" w:color="565A5C" w:themeColor="accent2"/>
        <w:insideH w:val="single" w:sz="8" w:space="0" w:color="565A5C" w:themeColor="accent2"/>
        <w:insideV w:val="single" w:sz="8" w:space="0" w:color="565A5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65A5C" w:themeColor="accent2"/>
          <w:left w:val="single" w:sz="8" w:space="0" w:color="565A5C" w:themeColor="accent2"/>
          <w:bottom w:val="single" w:sz="18" w:space="0" w:color="565A5C" w:themeColor="accent2"/>
          <w:right w:val="single" w:sz="8" w:space="0" w:color="565A5C" w:themeColor="accent2"/>
          <w:insideH w:val="nil"/>
          <w:insideV w:val="single" w:sz="8" w:space="0" w:color="565A5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65A5C" w:themeColor="accent2"/>
          <w:left w:val="single" w:sz="8" w:space="0" w:color="565A5C" w:themeColor="accent2"/>
          <w:bottom w:val="single" w:sz="8" w:space="0" w:color="565A5C" w:themeColor="accent2"/>
          <w:right w:val="single" w:sz="8" w:space="0" w:color="565A5C" w:themeColor="accent2"/>
          <w:insideH w:val="nil"/>
          <w:insideV w:val="single" w:sz="8" w:space="0" w:color="565A5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65A5C" w:themeColor="accent2"/>
          <w:left w:val="single" w:sz="8" w:space="0" w:color="565A5C" w:themeColor="accent2"/>
          <w:bottom w:val="single" w:sz="8" w:space="0" w:color="565A5C" w:themeColor="accent2"/>
          <w:right w:val="single" w:sz="8" w:space="0" w:color="565A5C" w:themeColor="accent2"/>
        </w:tcBorders>
      </w:tcPr>
    </w:tblStylePr>
    <w:tblStylePr w:type="band1Vert">
      <w:tblPr/>
      <w:tcPr>
        <w:tcBorders>
          <w:top w:val="single" w:sz="8" w:space="0" w:color="565A5C" w:themeColor="accent2"/>
          <w:left w:val="single" w:sz="8" w:space="0" w:color="565A5C" w:themeColor="accent2"/>
          <w:bottom w:val="single" w:sz="8" w:space="0" w:color="565A5C" w:themeColor="accent2"/>
          <w:right w:val="single" w:sz="8" w:space="0" w:color="565A5C" w:themeColor="accent2"/>
        </w:tcBorders>
        <w:shd w:val="clear" w:color="auto" w:fill="D4D6D7" w:themeFill="accent2" w:themeFillTint="3F"/>
      </w:tcPr>
    </w:tblStylePr>
    <w:tblStylePr w:type="band1Horz">
      <w:tblPr/>
      <w:tcPr>
        <w:tcBorders>
          <w:top w:val="single" w:sz="8" w:space="0" w:color="565A5C" w:themeColor="accent2"/>
          <w:left w:val="single" w:sz="8" w:space="0" w:color="565A5C" w:themeColor="accent2"/>
          <w:bottom w:val="single" w:sz="8" w:space="0" w:color="565A5C" w:themeColor="accent2"/>
          <w:right w:val="single" w:sz="8" w:space="0" w:color="565A5C" w:themeColor="accent2"/>
          <w:insideV w:val="single" w:sz="8" w:space="0" w:color="565A5C" w:themeColor="accent2"/>
        </w:tcBorders>
        <w:shd w:val="clear" w:color="auto" w:fill="D4D6D7" w:themeFill="accent2" w:themeFillTint="3F"/>
      </w:tcPr>
    </w:tblStylePr>
    <w:tblStylePr w:type="band2Horz">
      <w:tblPr/>
      <w:tcPr>
        <w:tcBorders>
          <w:top w:val="single" w:sz="8" w:space="0" w:color="565A5C" w:themeColor="accent2"/>
          <w:left w:val="single" w:sz="8" w:space="0" w:color="565A5C" w:themeColor="accent2"/>
          <w:bottom w:val="single" w:sz="8" w:space="0" w:color="565A5C" w:themeColor="accent2"/>
          <w:right w:val="single" w:sz="8" w:space="0" w:color="565A5C" w:themeColor="accent2"/>
          <w:insideV w:val="single" w:sz="8" w:space="0" w:color="565A5C" w:themeColor="accent2"/>
        </w:tcBorders>
      </w:tcPr>
    </w:tblStylePr>
  </w:style>
  <w:style w:type="table" w:styleId="LightGrid-Accent3">
    <w:name w:val="Light Grid Accent 3"/>
    <w:basedOn w:val="TableNormal"/>
    <w:uiPriority w:val="62"/>
    <w:locked/>
    <w:rsid w:val="00F80750"/>
    <w:pPr>
      <w:spacing w:after="0"/>
    </w:pPr>
    <w:tblPr>
      <w:tblStyleRowBandSize w:val="1"/>
      <w:tblStyleColBandSize w:val="1"/>
      <w:tblBorders>
        <w:top w:val="single" w:sz="8" w:space="0" w:color="7AB800" w:themeColor="accent3"/>
        <w:left w:val="single" w:sz="8" w:space="0" w:color="7AB800" w:themeColor="accent3"/>
        <w:bottom w:val="single" w:sz="8" w:space="0" w:color="7AB800" w:themeColor="accent3"/>
        <w:right w:val="single" w:sz="8" w:space="0" w:color="7AB800" w:themeColor="accent3"/>
        <w:insideH w:val="single" w:sz="8" w:space="0" w:color="7AB800" w:themeColor="accent3"/>
        <w:insideV w:val="single" w:sz="8" w:space="0" w:color="7AB8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B800" w:themeColor="accent3"/>
          <w:left w:val="single" w:sz="8" w:space="0" w:color="7AB800" w:themeColor="accent3"/>
          <w:bottom w:val="single" w:sz="18" w:space="0" w:color="7AB800" w:themeColor="accent3"/>
          <w:right w:val="single" w:sz="8" w:space="0" w:color="7AB800" w:themeColor="accent3"/>
          <w:insideH w:val="nil"/>
          <w:insideV w:val="single" w:sz="8" w:space="0" w:color="7AB8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B800" w:themeColor="accent3"/>
          <w:left w:val="single" w:sz="8" w:space="0" w:color="7AB800" w:themeColor="accent3"/>
          <w:bottom w:val="single" w:sz="8" w:space="0" w:color="7AB800" w:themeColor="accent3"/>
          <w:right w:val="single" w:sz="8" w:space="0" w:color="7AB800" w:themeColor="accent3"/>
          <w:insideH w:val="nil"/>
          <w:insideV w:val="single" w:sz="8" w:space="0" w:color="7AB8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B800" w:themeColor="accent3"/>
          <w:left w:val="single" w:sz="8" w:space="0" w:color="7AB800" w:themeColor="accent3"/>
          <w:bottom w:val="single" w:sz="8" w:space="0" w:color="7AB800" w:themeColor="accent3"/>
          <w:right w:val="single" w:sz="8" w:space="0" w:color="7AB800" w:themeColor="accent3"/>
        </w:tcBorders>
      </w:tcPr>
    </w:tblStylePr>
    <w:tblStylePr w:type="band1Vert">
      <w:tblPr/>
      <w:tcPr>
        <w:tcBorders>
          <w:top w:val="single" w:sz="8" w:space="0" w:color="7AB800" w:themeColor="accent3"/>
          <w:left w:val="single" w:sz="8" w:space="0" w:color="7AB800" w:themeColor="accent3"/>
          <w:bottom w:val="single" w:sz="8" w:space="0" w:color="7AB800" w:themeColor="accent3"/>
          <w:right w:val="single" w:sz="8" w:space="0" w:color="7AB800" w:themeColor="accent3"/>
        </w:tcBorders>
        <w:shd w:val="clear" w:color="auto" w:fill="E3FFAE" w:themeFill="accent3" w:themeFillTint="3F"/>
      </w:tcPr>
    </w:tblStylePr>
    <w:tblStylePr w:type="band1Horz">
      <w:tblPr/>
      <w:tcPr>
        <w:tcBorders>
          <w:top w:val="single" w:sz="8" w:space="0" w:color="7AB800" w:themeColor="accent3"/>
          <w:left w:val="single" w:sz="8" w:space="0" w:color="7AB800" w:themeColor="accent3"/>
          <w:bottom w:val="single" w:sz="8" w:space="0" w:color="7AB800" w:themeColor="accent3"/>
          <w:right w:val="single" w:sz="8" w:space="0" w:color="7AB800" w:themeColor="accent3"/>
          <w:insideV w:val="single" w:sz="8" w:space="0" w:color="7AB800" w:themeColor="accent3"/>
        </w:tcBorders>
        <w:shd w:val="clear" w:color="auto" w:fill="E3FFAE" w:themeFill="accent3" w:themeFillTint="3F"/>
      </w:tcPr>
    </w:tblStylePr>
    <w:tblStylePr w:type="band2Horz">
      <w:tblPr/>
      <w:tcPr>
        <w:tcBorders>
          <w:top w:val="single" w:sz="8" w:space="0" w:color="7AB800" w:themeColor="accent3"/>
          <w:left w:val="single" w:sz="8" w:space="0" w:color="7AB800" w:themeColor="accent3"/>
          <w:bottom w:val="single" w:sz="8" w:space="0" w:color="7AB800" w:themeColor="accent3"/>
          <w:right w:val="single" w:sz="8" w:space="0" w:color="7AB800" w:themeColor="accent3"/>
          <w:insideV w:val="single" w:sz="8" w:space="0" w:color="7AB800" w:themeColor="accent3"/>
        </w:tcBorders>
      </w:tcPr>
    </w:tblStylePr>
  </w:style>
  <w:style w:type="table" w:styleId="LightGrid-Accent4">
    <w:name w:val="Light Grid Accent 4"/>
    <w:basedOn w:val="TableNormal"/>
    <w:uiPriority w:val="62"/>
    <w:locked/>
    <w:rsid w:val="00F80750"/>
    <w:pPr>
      <w:spacing w:after="0"/>
    </w:pPr>
    <w:tblPr>
      <w:tblStyleRowBandSize w:val="1"/>
      <w:tblStyleColBandSize w:val="1"/>
      <w:tblBorders>
        <w:top w:val="single" w:sz="8" w:space="0" w:color="00ADD0" w:themeColor="accent4"/>
        <w:left w:val="single" w:sz="8" w:space="0" w:color="00ADD0" w:themeColor="accent4"/>
        <w:bottom w:val="single" w:sz="8" w:space="0" w:color="00ADD0" w:themeColor="accent4"/>
        <w:right w:val="single" w:sz="8" w:space="0" w:color="00ADD0" w:themeColor="accent4"/>
        <w:insideH w:val="single" w:sz="8" w:space="0" w:color="00ADD0" w:themeColor="accent4"/>
        <w:insideV w:val="single" w:sz="8" w:space="0" w:color="00ADD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DD0" w:themeColor="accent4"/>
          <w:left w:val="single" w:sz="8" w:space="0" w:color="00ADD0" w:themeColor="accent4"/>
          <w:bottom w:val="single" w:sz="18" w:space="0" w:color="00ADD0" w:themeColor="accent4"/>
          <w:right w:val="single" w:sz="8" w:space="0" w:color="00ADD0" w:themeColor="accent4"/>
          <w:insideH w:val="nil"/>
          <w:insideV w:val="single" w:sz="8" w:space="0" w:color="00ADD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DD0" w:themeColor="accent4"/>
          <w:left w:val="single" w:sz="8" w:space="0" w:color="00ADD0" w:themeColor="accent4"/>
          <w:bottom w:val="single" w:sz="8" w:space="0" w:color="00ADD0" w:themeColor="accent4"/>
          <w:right w:val="single" w:sz="8" w:space="0" w:color="00ADD0" w:themeColor="accent4"/>
          <w:insideH w:val="nil"/>
          <w:insideV w:val="single" w:sz="8" w:space="0" w:color="00ADD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DD0" w:themeColor="accent4"/>
          <w:left w:val="single" w:sz="8" w:space="0" w:color="00ADD0" w:themeColor="accent4"/>
          <w:bottom w:val="single" w:sz="8" w:space="0" w:color="00ADD0" w:themeColor="accent4"/>
          <w:right w:val="single" w:sz="8" w:space="0" w:color="00ADD0" w:themeColor="accent4"/>
        </w:tcBorders>
      </w:tcPr>
    </w:tblStylePr>
    <w:tblStylePr w:type="band1Vert">
      <w:tblPr/>
      <w:tcPr>
        <w:tcBorders>
          <w:top w:val="single" w:sz="8" w:space="0" w:color="00ADD0" w:themeColor="accent4"/>
          <w:left w:val="single" w:sz="8" w:space="0" w:color="00ADD0" w:themeColor="accent4"/>
          <w:bottom w:val="single" w:sz="8" w:space="0" w:color="00ADD0" w:themeColor="accent4"/>
          <w:right w:val="single" w:sz="8" w:space="0" w:color="00ADD0" w:themeColor="accent4"/>
        </w:tcBorders>
        <w:shd w:val="clear" w:color="auto" w:fill="B4F2FF" w:themeFill="accent4" w:themeFillTint="3F"/>
      </w:tcPr>
    </w:tblStylePr>
    <w:tblStylePr w:type="band1Horz">
      <w:tblPr/>
      <w:tcPr>
        <w:tcBorders>
          <w:top w:val="single" w:sz="8" w:space="0" w:color="00ADD0" w:themeColor="accent4"/>
          <w:left w:val="single" w:sz="8" w:space="0" w:color="00ADD0" w:themeColor="accent4"/>
          <w:bottom w:val="single" w:sz="8" w:space="0" w:color="00ADD0" w:themeColor="accent4"/>
          <w:right w:val="single" w:sz="8" w:space="0" w:color="00ADD0" w:themeColor="accent4"/>
          <w:insideV w:val="single" w:sz="8" w:space="0" w:color="00ADD0" w:themeColor="accent4"/>
        </w:tcBorders>
        <w:shd w:val="clear" w:color="auto" w:fill="B4F2FF" w:themeFill="accent4" w:themeFillTint="3F"/>
      </w:tcPr>
    </w:tblStylePr>
    <w:tblStylePr w:type="band2Horz">
      <w:tblPr/>
      <w:tcPr>
        <w:tcBorders>
          <w:top w:val="single" w:sz="8" w:space="0" w:color="00ADD0" w:themeColor="accent4"/>
          <w:left w:val="single" w:sz="8" w:space="0" w:color="00ADD0" w:themeColor="accent4"/>
          <w:bottom w:val="single" w:sz="8" w:space="0" w:color="00ADD0" w:themeColor="accent4"/>
          <w:right w:val="single" w:sz="8" w:space="0" w:color="00ADD0" w:themeColor="accent4"/>
          <w:insideV w:val="single" w:sz="8" w:space="0" w:color="00ADD0" w:themeColor="accent4"/>
        </w:tcBorders>
      </w:tcPr>
    </w:tblStylePr>
  </w:style>
  <w:style w:type="table" w:styleId="LightGrid-Accent5">
    <w:name w:val="Light Grid Accent 5"/>
    <w:basedOn w:val="TableNormal"/>
    <w:uiPriority w:val="62"/>
    <w:locked/>
    <w:rsid w:val="00F80750"/>
    <w:pPr>
      <w:spacing w:after="0"/>
    </w:pPr>
    <w:tblPr>
      <w:tblStyleRowBandSize w:val="1"/>
      <w:tblStyleColBandSize w:val="1"/>
      <w:tblBorders>
        <w:top w:val="single" w:sz="8" w:space="0" w:color="DCDEDE" w:themeColor="accent5"/>
        <w:left w:val="single" w:sz="8" w:space="0" w:color="DCDEDE" w:themeColor="accent5"/>
        <w:bottom w:val="single" w:sz="8" w:space="0" w:color="DCDEDE" w:themeColor="accent5"/>
        <w:right w:val="single" w:sz="8" w:space="0" w:color="DCDEDE" w:themeColor="accent5"/>
        <w:insideH w:val="single" w:sz="8" w:space="0" w:color="DCDEDE" w:themeColor="accent5"/>
        <w:insideV w:val="single" w:sz="8" w:space="0" w:color="DCDED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CDEDE" w:themeColor="accent5"/>
          <w:left w:val="single" w:sz="8" w:space="0" w:color="DCDEDE" w:themeColor="accent5"/>
          <w:bottom w:val="single" w:sz="18" w:space="0" w:color="DCDEDE" w:themeColor="accent5"/>
          <w:right w:val="single" w:sz="8" w:space="0" w:color="DCDEDE" w:themeColor="accent5"/>
          <w:insideH w:val="nil"/>
          <w:insideV w:val="single" w:sz="8" w:space="0" w:color="DCDED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CDEDE" w:themeColor="accent5"/>
          <w:left w:val="single" w:sz="8" w:space="0" w:color="DCDEDE" w:themeColor="accent5"/>
          <w:bottom w:val="single" w:sz="8" w:space="0" w:color="DCDEDE" w:themeColor="accent5"/>
          <w:right w:val="single" w:sz="8" w:space="0" w:color="DCDEDE" w:themeColor="accent5"/>
          <w:insideH w:val="nil"/>
          <w:insideV w:val="single" w:sz="8" w:space="0" w:color="DCDED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CDEDE" w:themeColor="accent5"/>
          <w:left w:val="single" w:sz="8" w:space="0" w:color="DCDEDE" w:themeColor="accent5"/>
          <w:bottom w:val="single" w:sz="8" w:space="0" w:color="DCDEDE" w:themeColor="accent5"/>
          <w:right w:val="single" w:sz="8" w:space="0" w:color="DCDEDE" w:themeColor="accent5"/>
        </w:tcBorders>
      </w:tcPr>
    </w:tblStylePr>
    <w:tblStylePr w:type="band1Vert">
      <w:tblPr/>
      <w:tcPr>
        <w:tcBorders>
          <w:top w:val="single" w:sz="8" w:space="0" w:color="DCDEDE" w:themeColor="accent5"/>
          <w:left w:val="single" w:sz="8" w:space="0" w:color="DCDEDE" w:themeColor="accent5"/>
          <w:bottom w:val="single" w:sz="8" w:space="0" w:color="DCDEDE" w:themeColor="accent5"/>
          <w:right w:val="single" w:sz="8" w:space="0" w:color="DCDEDE" w:themeColor="accent5"/>
        </w:tcBorders>
        <w:shd w:val="clear" w:color="auto" w:fill="F6F6F6" w:themeFill="accent5" w:themeFillTint="3F"/>
      </w:tcPr>
    </w:tblStylePr>
    <w:tblStylePr w:type="band1Horz">
      <w:tblPr/>
      <w:tcPr>
        <w:tcBorders>
          <w:top w:val="single" w:sz="8" w:space="0" w:color="DCDEDE" w:themeColor="accent5"/>
          <w:left w:val="single" w:sz="8" w:space="0" w:color="DCDEDE" w:themeColor="accent5"/>
          <w:bottom w:val="single" w:sz="8" w:space="0" w:color="DCDEDE" w:themeColor="accent5"/>
          <w:right w:val="single" w:sz="8" w:space="0" w:color="DCDEDE" w:themeColor="accent5"/>
          <w:insideV w:val="single" w:sz="8" w:space="0" w:color="DCDEDE" w:themeColor="accent5"/>
        </w:tcBorders>
        <w:shd w:val="clear" w:color="auto" w:fill="F6F6F6" w:themeFill="accent5" w:themeFillTint="3F"/>
      </w:tcPr>
    </w:tblStylePr>
    <w:tblStylePr w:type="band2Horz">
      <w:tblPr/>
      <w:tcPr>
        <w:tcBorders>
          <w:top w:val="single" w:sz="8" w:space="0" w:color="DCDEDE" w:themeColor="accent5"/>
          <w:left w:val="single" w:sz="8" w:space="0" w:color="DCDEDE" w:themeColor="accent5"/>
          <w:bottom w:val="single" w:sz="8" w:space="0" w:color="DCDEDE" w:themeColor="accent5"/>
          <w:right w:val="single" w:sz="8" w:space="0" w:color="DCDEDE" w:themeColor="accent5"/>
          <w:insideV w:val="single" w:sz="8" w:space="0" w:color="DCDEDE" w:themeColor="accent5"/>
        </w:tcBorders>
      </w:tcPr>
    </w:tblStylePr>
  </w:style>
  <w:style w:type="table" w:styleId="LightGrid-Accent6">
    <w:name w:val="Light Grid Accent 6"/>
    <w:basedOn w:val="TableNormal"/>
    <w:uiPriority w:val="62"/>
    <w:locked/>
    <w:rsid w:val="00F80750"/>
    <w:pPr>
      <w:spacing w:after="0"/>
    </w:pPr>
    <w:tblPr>
      <w:tblStyleRowBandSize w:val="1"/>
      <w:tblStyleColBandSize w:val="1"/>
      <w:tblBorders>
        <w:top w:val="single" w:sz="8" w:space="0" w:color="00819C" w:themeColor="accent6"/>
        <w:left w:val="single" w:sz="8" w:space="0" w:color="00819C" w:themeColor="accent6"/>
        <w:bottom w:val="single" w:sz="8" w:space="0" w:color="00819C" w:themeColor="accent6"/>
        <w:right w:val="single" w:sz="8" w:space="0" w:color="00819C" w:themeColor="accent6"/>
        <w:insideH w:val="single" w:sz="8" w:space="0" w:color="00819C" w:themeColor="accent6"/>
        <w:insideV w:val="single" w:sz="8" w:space="0" w:color="00819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19C" w:themeColor="accent6"/>
          <w:left w:val="single" w:sz="8" w:space="0" w:color="00819C" w:themeColor="accent6"/>
          <w:bottom w:val="single" w:sz="18" w:space="0" w:color="00819C" w:themeColor="accent6"/>
          <w:right w:val="single" w:sz="8" w:space="0" w:color="00819C" w:themeColor="accent6"/>
          <w:insideH w:val="nil"/>
          <w:insideV w:val="single" w:sz="8" w:space="0" w:color="00819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19C" w:themeColor="accent6"/>
          <w:left w:val="single" w:sz="8" w:space="0" w:color="00819C" w:themeColor="accent6"/>
          <w:bottom w:val="single" w:sz="8" w:space="0" w:color="00819C" w:themeColor="accent6"/>
          <w:right w:val="single" w:sz="8" w:space="0" w:color="00819C" w:themeColor="accent6"/>
          <w:insideH w:val="nil"/>
          <w:insideV w:val="single" w:sz="8" w:space="0" w:color="00819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19C" w:themeColor="accent6"/>
          <w:left w:val="single" w:sz="8" w:space="0" w:color="00819C" w:themeColor="accent6"/>
          <w:bottom w:val="single" w:sz="8" w:space="0" w:color="00819C" w:themeColor="accent6"/>
          <w:right w:val="single" w:sz="8" w:space="0" w:color="00819C" w:themeColor="accent6"/>
        </w:tcBorders>
      </w:tcPr>
    </w:tblStylePr>
    <w:tblStylePr w:type="band1Vert">
      <w:tblPr/>
      <w:tcPr>
        <w:tcBorders>
          <w:top w:val="single" w:sz="8" w:space="0" w:color="00819C" w:themeColor="accent6"/>
          <w:left w:val="single" w:sz="8" w:space="0" w:color="00819C" w:themeColor="accent6"/>
          <w:bottom w:val="single" w:sz="8" w:space="0" w:color="00819C" w:themeColor="accent6"/>
          <w:right w:val="single" w:sz="8" w:space="0" w:color="00819C" w:themeColor="accent6"/>
        </w:tcBorders>
        <w:shd w:val="clear" w:color="auto" w:fill="A7EFFF" w:themeFill="accent6" w:themeFillTint="3F"/>
      </w:tcPr>
    </w:tblStylePr>
    <w:tblStylePr w:type="band1Horz">
      <w:tblPr/>
      <w:tcPr>
        <w:tcBorders>
          <w:top w:val="single" w:sz="8" w:space="0" w:color="00819C" w:themeColor="accent6"/>
          <w:left w:val="single" w:sz="8" w:space="0" w:color="00819C" w:themeColor="accent6"/>
          <w:bottom w:val="single" w:sz="8" w:space="0" w:color="00819C" w:themeColor="accent6"/>
          <w:right w:val="single" w:sz="8" w:space="0" w:color="00819C" w:themeColor="accent6"/>
          <w:insideV w:val="single" w:sz="8" w:space="0" w:color="00819C" w:themeColor="accent6"/>
        </w:tcBorders>
        <w:shd w:val="clear" w:color="auto" w:fill="A7EFFF" w:themeFill="accent6" w:themeFillTint="3F"/>
      </w:tcPr>
    </w:tblStylePr>
    <w:tblStylePr w:type="band2Horz">
      <w:tblPr/>
      <w:tcPr>
        <w:tcBorders>
          <w:top w:val="single" w:sz="8" w:space="0" w:color="00819C" w:themeColor="accent6"/>
          <w:left w:val="single" w:sz="8" w:space="0" w:color="00819C" w:themeColor="accent6"/>
          <w:bottom w:val="single" w:sz="8" w:space="0" w:color="00819C" w:themeColor="accent6"/>
          <w:right w:val="single" w:sz="8" w:space="0" w:color="00819C" w:themeColor="accent6"/>
          <w:insideV w:val="single" w:sz="8" w:space="0" w:color="00819C" w:themeColor="accent6"/>
        </w:tcBorders>
      </w:tcPr>
    </w:tblStylePr>
  </w:style>
  <w:style w:type="table" w:styleId="LightList">
    <w:name w:val="Light List"/>
    <w:basedOn w:val="TableNormal"/>
    <w:uiPriority w:val="61"/>
    <w:locked/>
    <w:rsid w:val="00F80750"/>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locked/>
    <w:rsid w:val="00F80750"/>
    <w:pPr>
      <w:spacing w:after="0"/>
    </w:pPr>
    <w:tblPr>
      <w:tblStyleRowBandSize w:val="1"/>
      <w:tblStyleColBandSize w:val="1"/>
      <w:tblBorders>
        <w:top w:val="single" w:sz="8" w:space="0" w:color="FF6319" w:themeColor="accent1"/>
        <w:left w:val="single" w:sz="8" w:space="0" w:color="FF6319" w:themeColor="accent1"/>
        <w:bottom w:val="single" w:sz="8" w:space="0" w:color="FF6319" w:themeColor="accent1"/>
        <w:right w:val="single" w:sz="8" w:space="0" w:color="FF6319" w:themeColor="accent1"/>
      </w:tblBorders>
    </w:tblPr>
    <w:tblStylePr w:type="firstRow">
      <w:pPr>
        <w:spacing w:before="0" w:after="0" w:line="240" w:lineRule="auto"/>
      </w:pPr>
      <w:rPr>
        <w:b/>
        <w:bCs/>
        <w:color w:val="FFFFFF" w:themeColor="background1"/>
      </w:rPr>
      <w:tblPr/>
      <w:tcPr>
        <w:shd w:val="clear" w:color="auto" w:fill="FF6319" w:themeFill="accent1"/>
      </w:tcPr>
    </w:tblStylePr>
    <w:tblStylePr w:type="lastRow">
      <w:pPr>
        <w:spacing w:before="0" w:after="0" w:line="240" w:lineRule="auto"/>
      </w:pPr>
      <w:rPr>
        <w:b/>
        <w:bCs/>
      </w:rPr>
      <w:tblPr/>
      <w:tcPr>
        <w:tcBorders>
          <w:top w:val="double" w:sz="6" w:space="0" w:color="FF6319" w:themeColor="accent1"/>
          <w:left w:val="single" w:sz="8" w:space="0" w:color="FF6319" w:themeColor="accent1"/>
          <w:bottom w:val="single" w:sz="8" w:space="0" w:color="FF6319" w:themeColor="accent1"/>
          <w:right w:val="single" w:sz="8" w:space="0" w:color="FF6319" w:themeColor="accent1"/>
        </w:tcBorders>
      </w:tcPr>
    </w:tblStylePr>
    <w:tblStylePr w:type="firstCol">
      <w:rPr>
        <w:b/>
        <w:bCs/>
      </w:rPr>
    </w:tblStylePr>
    <w:tblStylePr w:type="lastCol">
      <w:rPr>
        <w:b/>
        <w:bCs/>
      </w:rPr>
    </w:tblStylePr>
    <w:tblStylePr w:type="band1Vert">
      <w:tblPr/>
      <w:tcPr>
        <w:tcBorders>
          <w:top w:val="single" w:sz="8" w:space="0" w:color="FF6319" w:themeColor="accent1"/>
          <w:left w:val="single" w:sz="8" w:space="0" w:color="FF6319" w:themeColor="accent1"/>
          <w:bottom w:val="single" w:sz="8" w:space="0" w:color="FF6319" w:themeColor="accent1"/>
          <w:right w:val="single" w:sz="8" w:space="0" w:color="FF6319" w:themeColor="accent1"/>
        </w:tcBorders>
      </w:tcPr>
    </w:tblStylePr>
    <w:tblStylePr w:type="band1Horz">
      <w:tblPr/>
      <w:tcPr>
        <w:tcBorders>
          <w:top w:val="single" w:sz="8" w:space="0" w:color="FF6319" w:themeColor="accent1"/>
          <w:left w:val="single" w:sz="8" w:space="0" w:color="FF6319" w:themeColor="accent1"/>
          <w:bottom w:val="single" w:sz="8" w:space="0" w:color="FF6319" w:themeColor="accent1"/>
          <w:right w:val="single" w:sz="8" w:space="0" w:color="FF6319" w:themeColor="accent1"/>
        </w:tcBorders>
      </w:tcPr>
    </w:tblStylePr>
  </w:style>
  <w:style w:type="table" w:styleId="LightList-Accent2">
    <w:name w:val="Light List Accent 2"/>
    <w:basedOn w:val="TableNormal"/>
    <w:uiPriority w:val="61"/>
    <w:locked/>
    <w:rsid w:val="00F80750"/>
    <w:pPr>
      <w:spacing w:after="0"/>
    </w:pPr>
    <w:tblPr>
      <w:tblStyleRowBandSize w:val="1"/>
      <w:tblStyleColBandSize w:val="1"/>
      <w:tblBorders>
        <w:top w:val="single" w:sz="8" w:space="0" w:color="565A5C" w:themeColor="accent2"/>
        <w:left w:val="single" w:sz="8" w:space="0" w:color="565A5C" w:themeColor="accent2"/>
        <w:bottom w:val="single" w:sz="8" w:space="0" w:color="565A5C" w:themeColor="accent2"/>
        <w:right w:val="single" w:sz="8" w:space="0" w:color="565A5C" w:themeColor="accent2"/>
      </w:tblBorders>
    </w:tblPr>
    <w:tblStylePr w:type="firstRow">
      <w:pPr>
        <w:spacing w:before="0" w:after="0" w:line="240" w:lineRule="auto"/>
      </w:pPr>
      <w:rPr>
        <w:b/>
        <w:bCs/>
        <w:color w:val="FFFFFF" w:themeColor="background1"/>
      </w:rPr>
      <w:tblPr/>
      <w:tcPr>
        <w:shd w:val="clear" w:color="auto" w:fill="565A5C" w:themeFill="accent2"/>
      </w:tcPr>
    </w:tblStylePr>
    <w:tblStylePr w:type="lastRow">
      <w:pPr>
        <w:spacing w:before="0" w:after="0" w:line="240" w:lineRule="auto"/>
      </w:pPr>
      <w:rPr>
        <w:b/>
        <w:bCs/>
      </w:rPr>
      <w:tblPr/>
      <w:tcPr>
        <w:tcBorders>
          <w:top w:val="double" w:sz="6" w:space="0" w:color="565A5C" w:themeColor="accent2"/>
          <w:left w:val="single" w:sz="8" w:space="0" w:color="565A5C" w:themeColor="accent2"/>
          <w:bottom w:val="single" w:sz="8" w:space="0" w:color="565A5C" w:themeColor="accent2"/>
          <w:right w:val="single" w:sz="8" w:space="0" w:color="565A5C" w:themeColor="accent2"/>
        </w:tcBorders>
      </w:tcPr>
    </w:tblStylePr>
    <w:tblStylePr w:type="firstCol">
      <w:rPr>
        <w:b/>
        <w:bCs/>
      </w:rPr>
    </w:tblStylePr>
    <w:tblStylePr w:type="lastCol">
      <w:rPr>
        <w:b/>
        <w:bCs/>
      </w:rPr>
    </w:tblStylePr>
    <w:tblStylePr w:type="band1Vert">
      <w:tblPr/>
      <w:tcPr>
        <w:tcBorders>
          <w:top w:val="single" w:sz="8" w:space="0" w:color="565A5C" w:themeColor="accent2"/>
          <w:left w:val="single" w:sz="8" w:space="0" w:color="565A5C" w:themeColor="accent2"/>
          <w:bottom w:val="single" w:sz="8" w:space="0" w:color="565A5C" w:themeColor="accent2"/>
          <w:right w:val="single" w:sz="8" w:space="0" w:color="565A5C" w:themeColor="accent2"/>
        </w:tcBorders>
      </w:tcPr>
    </w:tblStylePr>
    <w:tblStylePr w:type="band1Horz">
      <w:tblPr/>
      <w:tcPr>
        <w:tcBorders>
          <w:top w:val="single" w:sz="8" w:space="0" w:color="565A5C" w:themeColor="accent2"/>
          <w:left w:val="single" w:sz="8" w:space="0" w:color="565A5C" w:themeColor="accent2"/>
          <w:bottom w:val="single" w:sz="8" w:space="0" w:color="565A5C" w:themeColor="accent2"/>
          <w:right w:val="single" w:sz="8" w:space="0" w:color="565A5C" w:themeColor="accent2"/>
        </w:tcBorders>
      </w:tcPr>
    </w:tblStylePr>
  </w:style>
  <w:style w:type="table" w:styleId="LightList-Accent3">
    <w:name w:val="Light List Accent 3"/>
    <w:basedOn w:val="TableNormal"/>
    <w:uiPriority w:val="61"/>
    <w:locked/>
    <w:rsid w:val="00F80750"/>
    <w:pPr>
      <w:spacing w:after="0"/>
    </w:pPr>
    <w:tblPr>
      <w:tblStyleRowBandSize w:val="1"/>
      <w:tblStyleColBandSize w:val="1"/>
      <w:tblBorders>
        <w:top w:val="single" w:sz="8" w:space="0" w:color="7AB800" w:themeColor="accent3"/>
        <w:left w:val="single" w:sz="8" w:space="0" w:color="7AB800" w:themeColor="accent3"/>
        <w:bottom w:val="single" w:sz="8" w:space="0" w:color="7AB800" w:themeColor="accent3"/>
        <w:right w:val="single" w:sz="8" w:space="0" w:color="7AB800" w:themeColor="accent3"/>
      </w:tblBorders>
    </w:tblPr>
    <w:tblStylePr w:type="firstRow">
      <w:pPr>
        <w:spacing w:before="0" w:after="0" w:line="240" w:lineRule="auto"/>
      </w:pPr>
      <w:rPr>
        <w:b/>
        <w:bCs/>
        <w:color w:val="FFFFFF" w:themeColor="background1"/>
      </w:rPr>
      <w:tblPr/>
      <w:tcPr>
        <w:shd w:val="clear" w:color="auto" w:fill="7AB800" w:themeFill="accent3"/>
      </w:tcPr>
    </w:tblStylePr>
    <w:tblStylePr w:type="lastRow">
      <w:pPr>
        <w:spacing w:before="0" w:after="0" w:line="240" w:lineRule="auto"/>
      </w:pPr>
      <w:rPr>
        <w:b/>
        <w:bCs/>
      </w:rPr>
      <w:tblPr/>
      <w:tcPr>
        <w:tcBorders>
          <w:top w:val="double" w:sz="6" w:space="0" w:color="7AB800" w:themeColor="accent3"/>
          <w:left w:val="single" w:sz="8" w:space="0" w:color="7AB800" w:themeColor="accent3"/>
          <w:bottom w:val="single" w:sz="8" w:space="0" w:color="7AB800" w:themeColor="accent3"/>
          <w:right w:val="single" w:sz="8" w:space="0" w:color="7AB800" w:themeColor="accent3"/>
        </w:tcBorders>
      </w:tcPr>
    </w:tblStylePr>
    <w:tblStylePr w:type="firstCol">
      <w:rPr>
        <w:b/>
        <w:bCs/>
      </w:rPr>
    </w:tblStylePr>
    <w:tblStylePr w:type="lastCol">
      <w:rPr>
        <w:b/>
        <w:bCs/>
      </w:rPr>
    </w:tblStylePr>
    <w:tblStylePr w:type="band1Vert">
      <w:tblPr/>
      <w:tcPr>
        <w:tcBorders>
          <w:top w:val="single" w:sz="8" w:space="0" w:color="7AB800" w:themeColor="accent3"/>
          <w:left w:val="single" w:sz="8" w:space="0" w:color="7AB800" w:themeColor="accent3"/>
          <w:bottom w:val="single" w:sz="8" w:space="0" w:color="7AB800" w:themeColor="accent3"/>
          <w:right w:val="single" w:sz="8" w:space="0" w:color="7AB800" w:themeColor="accent3"/>
        </w:tcBorders>
      </w:tcPr>
    </w:tblStylePr>
    <w:tblStylePr w:type="band1Horz">
      <w:tblPr/>
      <w:tcPr>
        <w:tcBorders>
          <w:top w:val="single" w:sz="8" w:space="0" w:color="7AB800" w:themeColor="accent3"/>
          <w:left w:val="single" w:sz="8" w:space="0" w:color="7AB800" w:themeColor="accent3"/>
          <w:bottom w:val="single" w:sz="8" w:space="0" w:color="7AB800" w:themeColor="accent3"/>
          <w:right w:val="single" w:sz="8" w:space="0" w:color="7AB800" w:themeColor="accent3"/>
        </w:tcBorders>
      </w:tcPr>
    </w:tblStylePr>
  </w:style>
  <w:style w:type="table" w:styleId="LightList-Accent4">
    <w:name w:val="Light List Accent 4"/>
    <w:basedOn w:val="TableNormal"/>
    <w:uiPriority w:val="61"/>
    <w:locked/>
    <w:rsid w:val="00F80750"/>
    <w:pPr>
      <w:spacing w:after="0"/>
    </w:pPr>
    <w:tblPr>
      <w:tblStyleRowBandSize w:val="1"/>
      <w:tblStyleColBandSize w:val="1"/>
      <w:tblBorders>
        <w:top w:val="single" w:sz="8" w:space="0" w:color="00ADD0" w:themeColor="accent4"/>
        <w:left w:val="single" w:sz="8" w:space="0" w:color="00ADD0" w:themeColor="accent4"/>
        <w:bottom w:val="single" w:sz="8" w:space="0" w:color="00ADD0" w:themeColor="accent4"/>
        <w:right w:val="single" w:sz="8" w:space="0" w:color="00ADD0" w:themeColor="accent4"/>
      </w:tblBorders>
    </w:tblPr>
    <w:tblStylePr w:type="firstRow">
      <w:pPr>
        <w:spacing w:before="0" w:after="0" w:line="240" w:lineRule="auto"/>
      </w:pPr>
      <w:rPr>
        <w:b/>
        <w:bCs/>
        <w:color w:val="FFFFFF" w:themeColor="background1"/>
      </w:rPr>
      <w:tblPr/>
      <w:tcPr>
        <w:shd w:val="clear" w:color="auto" w:fill="00ADD0" w:themeFill="accent4"/>
      </w:tcPr>
    </w:tblStylePr>
    <w:tblStylePr w:type="lastRow">
      <w:pPr>
        <w:spacing w:before="0" w:after="0" w:line="240" w:lineRule="auto"/>
      </w:pPr>
      <w:rPr>
        <w:b/>
        <w:bCs/>
      </w:rPr>
      <w:tblPr/>
      <w:tcPr>
        <w:tcBorders>
          <w:top w:val="double" w:sz="6" w:space="0" w:color="00ADD0" w:themeColor="accent4"/>
          <w:left w:val="single" w:sz="8" w:space="0" w:color="00ADD0" w:themeColor="accent4"/>
          <w:bottom w:val="single" w:sz="8" w:space="0" w:color="00ADD0" w:themeColor="accent4"/>
          <w:right w:val="single" w:sz="8" w:space="0" w:color="00ADD0" w:themeColor="accent4"/>
        </w:tcBorders>
      </w:tcPr>
    </w:tblStylePr>
    <w:tblStylePr w:type="firstCol">
      <w:rPr>
        <w:b/>
        <w:bCs/>
      </w:rPr>
    </w:tblStylePr>
    <w:tblStylePr w:type="lastCol">
      <w:rPr>
        <w:b/>
        <w:bCs/>
      </w:rPr>
    </w:tblStylePr>
    <w:tblStylePr w:type="band1Vert">
      <w:tblPr/>
      <w:tcPr>
        <w:tcBorders>
          <w:top w:val="single" w:sz="8" w:space="0" w:color="00ADD0" w:themeColor="accent4"/>
          <w:left w:val="single" w:sz="8" w:space="0" w:color="00ADD0" w:themeColor="accent4"/>
          <w:bottom w:val="single" w:sz="8" w:space="0" w:color="00ADD0" w:themeColor="accent4"/>
          <w:right w:val="single" w:sz="8" w:space="0" w:color="00ADD0" w:themeColor="accent4"/>
        </w:tcBorders>
      </w:tcPr>
    </w:tblStylePr>
    <w:tblStylePr w:type="band1Horz">
      <w:tblPr/>
      <w:tcPr>
        <w:tcBorders>
          <w:top w:val="single" w:sz="8" w:space="0" w:color="00ADD0" w:themeColor="accent4"/>
          <w:left w:val="single" w:sz="8" w:space="0" w:color="00ADD0" w:themeColor="accent4"/>
          <w:bottom w:val="single" w:sz="8" w:space="0" w:color="00ADD0" w:themeColor="accent4"/>
          <w:right w:val="single" w:sz="8" w:space="0" w:color="00ADD0" w:themeColor="accent4"/>
        </w:tcBorders>
      </w:tcPr>
    </w:tblStylePr>
  </w:style>
  <w:style w:type="table" w:styleId="LightList-Accent5">
    <w:name w:val="Light List Accent 5"/>
    <w:basedOn w:val="TableNormal"/>
    <w:uiPriority w:val="61"/>
    <w:locked/>
    <w:rsid w:val="00F80750"/>
    <w:pPr>
      <w:spacing w:after="0"/>
    </w:pPr>
    <w:tblPr>
      <w:tblStyleRowBandSize w:val="1"/>
      <w:tblStyleColBandSize w:val="1"/>
      <w:tblBorders>
        <w:top w:val="single" w:sz="8" w:space="0" w:color="DCDEDE" w:themeColor="accent5"/>
        <w:left w:val="single" w:sz="8" w:space="0" w:color="DCDEDE" w:themeColor="accent5"/>
        <w:bottom w:val="single" w:sz="8" w:space="0" w:color="DCDEDE" w:themeColor="accent5"/>
        <w:right w:val="single" w:sz="8" w:space="0" w:color="DCDEDE" w:themeColor="accent5"/>
      </w:tblBorders>
    </w:tblPr>
    <w:tblStylePr w:type="firstRow">
      <w:pPr>
        <w:spacing w:before="0" w:after="0" w:line="240" w:lineRule="auto"/>
      </w:pPr>
      <w:rPr>
        <w:b/>
        <w:bCs/>
        <w:color w:val="FFFFFF" w:themeColor="background1"/>
      </w:rPr>
      <w:tblPr/>
      <w:tcPr>
        <w:shd w:val="clear" w:color="auto" w:fill="DCDEDE" w:themeFill="accent5"/>
      </w:tcPr>
    </w:tblStylePr>
    <w:tblStylePr w:type="lastRow">
      <w:pPr>
        <w:spacing w:before="0" w:after="0" w:line="240" w:lineRule="auto"/>
      </w:pPr>
      <w:rPr>
        <w:b/>
        <w:bCs/>
      </w:rPr>
      <w:tblPr/>
      <w:tcPr>
        <w:tcBorders>
          <w:top w:val="double" w:sz="6" w:space="0" w:color="DCDEDE" w:themeColor="accent5"/>
          <w:left w:val="single" w:sz="8" w:space="0" w:color="DCDEDE" w:themeColor="accent5"/>
          <w:bottom w:val="single" w:sz="8" w:space="0" w:color="DCDEDE" w:themeColor="accent5"/>
          <w:right w:val="single" w:sz="8" w:space="0" w:color="DCDEDE" w:themeColor="accent5"/>
        </w:tcBorders>
      </w:tcPr>
    </w:tblStylePr>
    <w:tblStylePr w:type="firstCol">
      <w:rPr>
        <w:b/>
        <w:bCs/>
      </w:rPr>
    </w:tblStylePr>
    <w:tblStylePr w:type="lastCol">
      <w:rPr>
        <w:b/>
        <w:bCs/>
      </w:rPr>
    </w:tblStylePr>
    <w:tblStylePr w:type="band1Vert">
      <w:tblPr/>
      <w:tcPr>
        <w:tcBorders>
          <w:top w:val="single" w:sz="8" w:space="0" w:color="DCDEDE" w:themeColor="accent5"/>
          <w:left w:val="single" w:sz="8" w:space="0" w:color="DCDEDE" w:themeColor="accent5"/>
          <w:bottom w:val="single" w:sz="8" w:space="0" w:color="DCDEDE" w:themeColor="accent5"/>
          <w:right w:val="single" w:sz="8" w:space="0" w:color="DCDEDE" w:themeColor="accent5"/>
        </w:tcBorders>
      </w:tcPr>
    </w:tblStylePr>
    <w:tblStylePr w:type="band1Horz">
      <w:tblPr/>
      <w:tcPr>
        <w:tcBorders>
          <w:top w:val="single" w:sz="8" w:space="0" w:color="DCDEDE" w:themeColor="accent5"/>
          <w:left w:val="single" w:sz="8" w:space="0" w:color="DCDEDE" w:themeColor="accent5"/>
          <w:bottom w:val="single" w:sz="8" w:space="0" w:color="DCDEDE" w:themeColor="accent5"/>
          <w:right w:val="single" w:sz="8" w:space="0" w:color="DCDEDE" w:themeColor="accent5"/>
        </w:tcBorders>
      </w:tcPr>
    </w:tblStylePr>
  </w:style>
  <w:style w:type="table" w:styleId="LightList-Accent6">
    <w:name w:val="Light List Accent 6"/>
    <w:basedOn w:val="TableNormal"/>
    <w:uiPriority w:val="61"/>
    <w:locked/>
    <w:rsid w:val="00F80750"/>
    <w:pPr>
      <w:spacing w:after="0"/>
    </w:pPr>
    <w:tblPr>
      <w:tblStyleRowBandSize w:val="1"/>
      <w:tblStyleColBandSize w:val="1"/>
      <w:tblBorders>
        <w:top w:val="single" w:sz="8" w:space="0" w:color="00819C" w:themeColor="accent6"/>
        <w:left w:val="single" w:sz="8" w:space="0" w:color="00819C" w:themeColor="accent6"/>
        <w:bottom w:val="single" w:sz="8" w:space="0" w:color="00819C" w:themeColor="accent6"/>
        <w:right w:val="single" w:sz="8" w:space="0" w:color="00819C" w:themeColor="accent6"/>
      </w:tblBorders>
    </w:tblPr>
    <w:tblStylePr w:type="firstRow">
      <w:pPr>
        <w:spacing w:before="0" w:after="0" w:line="240" w:lineRule="auto"/>
      </w:pPr>
      <w:rPr>
        <w:b/>
        <w:bCs/>
        <w:color w:val="FFFFFF" w:themeColor="background1"/>
      </w:rPr>
      <w:tblPr/>
      <w:tcPr>
        <w:shd w:val="clear" w:color="auto" w:fill="00819C" w:themeFill="accent6"/>
      </w:tcPr>
    </w:tblStylePr>
    <w:tblStylePr w:type="lastRow">
      <w:pPr>
        <w:spacing w:before="0" w:after="0" w:line="240" w:lineRule="auto"/>
      </w:pPr>
      <w:rPr>
        <w:b/>
        <w:bCs/>
      </w:rPr>
      <w:tblPr/>
      <w:tcPr>
        <w:tcBorders>
          <w:top w:val="double" w:sz="6" w:space="0" w:color="00819C" w:themeColor="accent6"/>
          <w:left w:val="single" w:sz="8" w:space="0" w:color="00819C" w:themeColor="accent6"/>
          <w:bottom w:val="single" w:sz="8" w:space="0" w:color="00819C" w:themeColor="accent6"/>
          <w:right w:val="single" w:sz="8" w:space="0" w:color="00819C" w:themeColor="accent6"/>
        </w:tcBorders>
      </w:tcPr>
    </w:tblStylePr>
    <w:tblStylePr w:type="firstCol">
      <w:rPr>
        <w:b/>
        <w:bCs/>
      </w:rPr>
    </w:tblStylePr>
    <w:tblStylePr w:type="lastCol">
      <w:rPr>
        <w:b/>
        <w:bCs/>
      </w:rPr>
    </w:tblStylePr>
    <w:tblStylePr w:type="band1Vert">
      <w:tblPr/>
      <w:tcPr>
        <w:tcBorders>
          <w:top w:val="single" w:sz="8" w:space="0" w:color="00819C" w:themeColor="accent6"/>
          <w:left w:val="single" w:sz="8" w:space="0" w:color="00819C" w:themeColor="accent6"/>
          <w:bottom w:val="single" w:sz="8" w:space="0" w:color="00819C" w:themeColor="accent6"/>
          <w:right w:val="single" w:sz="8" w:space="0" w:color="00819C" w:themeColor="accent6"/>
        </w:tcBorders>
      </w:tcPr>
    </w:tblStylePr>
    <w:tblStylePr w:type="band1Horz">
      <w:tblPr/>
      <w:tcPr>
        <w:tcBorders>
          <w:top w:val="single" w:sz="8" w:space="0" w:color="00819C" w:themeColor="accent6"/>
          <w:left w:val="single" w:sz="8" w:space="0" w:color="00819C" w:themeColor="accent6"/>
          <w:bottom w:val="single" w:sz="8" w:space="0" w:color="00819C" w:themeColor="accent6"/>
          <w:right w:val="single" w:sz="8" w:space="0" w:color="00819C" w:themeColor="accent6"/>
        </w:tcBorders>
      </w:tcPr>
    </w:tblStylePr>
  </w:style>
  <w:style w:type="table" w:styleId="LightShading">
    <w:name w:val="Light Shading"/>
    <w:basedOn w:val="TableNormal"/>
    <w:uiPriority w:val="60"/>
    <w:locked/>
    <w:rsid w:val="00F80750"/>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F80750"/>
    <w:pPr>
      <w:spacing w:after="0"/>
    </w:pPr>
    <w:rPr>
      <w:color w:val="D14300" w:themeColor="accent1" w:themeShade="BF"/>
    </w:rPr>
    <w:tblPr>
      <w:tblStyleRowBandSize w:val="1"/>
      <w:tblStyleColBandSize w:val="1"/>
      <w:tblBorders>
        <w:top w:val="single" w:sz="8" w:space="0" w:color="FF6319" w:themeColor="accent1"/>
        <w:bottom w:val="single" w:sz="8" w:space="0" w:color="FF6319" w:themeColor="accent1"/>
      </w:tblBorders>
    </w:tblPr>
    <w:tblStylePr w:type="firstRow">
      <w:pPr>
        <w:spacing w:before="0" w:after="0" w:line="240" w:lineRule="auto"/>
      </w:pPr>
      <w:rPr>
        <w:b/>
        <w:bCs/>
      </w:rPr>
      <w:tblPr/>
      <w:tcPr>
        <w:tcBorders>
          <w:top w:val="single" w:sz="8" w:space="0" w:color="FF6319" w:themeColor="accent1"/>
          <w:left w:val="nil"/>
          <w:bottom w:val="single" w:sz="8" w:space="0" w:color="FF6319" w:themeColor="accent1"/>
          <w:right w:val="nil"/>
          <w:insideH w:val="nil"/>
          <w:insideV w:val="nil"/>
        </w:tcBorders>
      </w:tcPr>
    </w:tblStylePr>
    <w:tblStylePr w:type="lastRow">
      <w:pPr>
        <w:spacing w:before="0" w:after="0" w:line="240" w:lineRule="auto"/>
      </w:pPr>
      <w:rPr>
        <w:b/>
        <w:bCs/>
      </w:rPr>
      <w:tblPr/>
      <w:tcPr>
        <w:tcBorders>
          <w:top w:val="single" w:sz="8" w:space="0" w:color="FF6319" w:themeColor="accent1"/>
          <w:left w:val="nil"/>
          <w:bottom w:val="single" w:sz="8" w:space="0" w:color="FF631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8C6" w:themeFill="accent1" w:themeFillTint="3F"/>
      </w:tcPr>
    </w:tblStylePr>
    <w:tblStylePr w:type="band1Horz">
      <w:tblPr/>
      <w:tcPr>
        <w:tcBorders>
          <w:left w:val="nil"/>
          <w:right w:val="nil"/>
          <w:insideH w:val="nil"/>
          <w:insideV w:val="nil"/>
        </w:tcBorders>
        <w:shd w:val="clear" w:color="auto" w:fill="FFD8C6" w:themeFill="accent1" w:themeFillTint="3F"/>
      </w:tcPr>
    </w:tblStylePr>
  </w:style>
  <w:style w:type="table" w:styleId="LightShading-Accent2">
    <w:name w:val="Light Shading Accent 2"/>
    <w:basedOn w:val="TableNormal"/>
    <w:uiPriority w:val="60"/>
    <w:locked/>
    <w:rsid w:val="00F80750"/>
    <w:pPr>
      <w:spacing w:after="0"/>
    </w:pPr>
    <w:rPr>
      <w:color w:val="404344" w:themeColor="accent2" w:themeShade="BF"/>
    </w:rPr>
    <w:tblPr>
      <w:tblStyleRowBandSize w:val="1"/>
      <w:tblStyleColBandSize w:val="1"/>
      <w:tblBorders>
        <w:top w:val="single" w:sz="8" w:space="0" w:color="565A5C" w:themeColor="accent2"/>
        <w:bottom w:val="single" w:sz="8" w:space="0" w:color="565A5C" w:themeColor="accent2"/>
      </w:tblBorders>
    </w:tblPr>
    <w:tblStylePr w:type="firstRow">
      <w:pPr>
        <w:spacing w:before="0" w:after="0" w:line="240" w:lineRule="auto"/>
      </w:pPr>
      <w:rPr>
        <w:b/>
        <w:bCs/>
      </w:rPr>
      <w:tblPr/>
      <w:tcPr>
        <w:tcBorders>
          <w:top w:val="single" w:sz="8" w:space="0" w:color="565A5C" w:themeColor="accent2"/>
          <w:left w:val="nil"/>
          <w:bottom w:val="single" w:sz="8" w:space="0" w:color="565A5C" w:themeColor="accent2"/>
          <w:right w:val="nil"/>
          <w:insideH w:val="nil"/>
          <w:insideV w:val="nil"/>
        </w:tcBorders>
      </w:tcPr>
    </w:tblStylePr>
    <w:tblStylePr w:type="lastRow">
      <w:pPr>
        <w:spacing w:before="0" w:after="0" w:line="240" w:lineRule="auto"/>
      </w:pPr>
      <w:rPr>
        <w:b/>
        <w:bCs/>
      </w:rPr>
      <w:tblPr/>
      <w:tcPr>
        <w:tcBorders>
          <w:top w:val="single" w:sz="8" w:space="0" w:color="565A5C" w:themeColor="accent2"/>
          <w:left w:val="nil"/>
          <w:bottom w:val="single" w:sz="8" w:space="0" w:color="565A5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D6D7" w:themeFill="accent2" w:themeFillTint="3F"/>
      </w:tcPr>
    </w:tblStylePr>
    <w:tblStylePr w:type="band1Horz">
      <w:tblPr/>
      <w:tcPr>
        <w:tcBorders>
          <w:left w:val="nil"/>
          <w:right w:val="nil"/>
          <w:insideH w:val="nil"/>
          <w:insideV w:val="nil"/>
        </w:tcBorders>
        <w:shd w:val="clear" w:color="auto" w:fill="D4D6D7" w:themeFill="accent2" w:themeFillTint="3F"/>
      </w:tcPr>
    </w:tblStylePr>
  </w:style>
  <w:style w:type="table" w:styleId="LightShading-Accent3">
    <w:name w:val="Light Shading Accent 3"/>
    <w:basedOn w:val="TableNormal"/>
    <w:uiPriority w:val="60"/>
    <w:locked/>
    <w:rsid w:val="00F80750"/>
    <w:pPr>
      <w:spacing w:after="0"/>
    </w:pPr>
    <w:rPr>
      <w:color w:val="5B8900" w:themeColor="accent3" w:themeShade="BF"/>
    </w:rPr>
    <w:tblPr>
      <w:tblStyleRowBandSize w:val="1"/>
      <w:tblStyleColBandSize w:val="1"/>
      <w:tblBorders>
        <w:top w:val="single" w:sz="8" w:space="0" w:color="7AB800" w:themeColor="accent3"/>
        <w:bottom w:val="single" w:sz="8" w:space="0" w:color="7AB800" w:themeColor="accent3"/>
      </w:tblBorders>
    </w:tblPr>
    <w:tblStylePr w:type="firstRow">
      <w:pPr>
        <w:spacing w:before="0" w:after="0" w:line="240" w:lineRule="auto"/>
      </w:pPr>
      <w:rPr>
        <w:b/>
        <w:bCs/>
      </w:rPr>
      <w:tblPr/>
      <w:tcPr>
        <w:tcBorders>
          <w:top w:val="single" w:sz="8" w:space="0" w:color="7AB800" w:themeColor="accent3"/>
          <w:left w:val="nil"/>
          <w:bottom w:val="single" w:sz="8" w:space="0" w:color="7AB800" w:themeColor="accent3"/>
          <w:right w:val="nil"/>
          <w:insideH w:val="nil"/>
          <w:insideV w:val="nil"/>
        </w:tcBorders>
      </w:tcPr>
    </w:tblStylePr>
    <w:tblStylePr w:type="lastRow">
      <w:pPr>
        <w:spacing w:before="0" w:after="0" w:line="240" w:lineRule="auto"/>
      </w:pPr>
      <w:rPr>
        <w:b/>
        <w:bCs/>
      </w:rPr>
      <w:tblPr/>
      <w:tcPr>
        <w:tcBorders>
          <w:top w:val="single" w:sz="8" w:space="0" w:color="7AB800" w:themeColor="accent3"/>
          <w:left w:val="nil"/>
          <w:bottom w:val="single" w:sz="8" w:space="0" w:color="7AB8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FAE" w:themeFill="accent3" w:themeFillTint="3F"/>
      </w:tcPr>
    </w:tblStylePr>
    <w:tblStylePr w:type="band1Horz">
      <w:tblPr/>
      <w:tcPr>
        <w:tcBorders>
          <w:left w:val="nil"/>
          <w:right w:val="nil"/>
          <w:insideH w:val="nil"/>
          <w:insideV w:val="nil"/>
        </w:tcBorders>
        <w:shd w:val="clear" w:color="auto" w:fill="E3FFAE" w:themeFill="accent3" w:themeFillTint="3F"/>
      </w:tcPr>
    </w:tblStylePr>
  </w:style>
  <w:style w:type="table" w:styleId="LightShading-Accent4">
    <w:name w:val="Light Shading Accent 4"/>
    <w:basedOn w:val="TableNormal"/>
    <w:uiPriority w:val="60"/>
    <w:locked/>
    <w:rsid w:val="00F80750"/>
    <w:pPr>
      <w:spacing w:after="0"/>
    </w:pPr>
    <w:rPr>
      <w:color w:val="00819B" w:themeColor="accent4" w:themeShade="BF"/>
    </w:rPr>
    <w:tblPr>
      <w:tblStyleRowBandSize w:val="1"/>
      <w:tblStyleColBandSize w:val="1"/>
      <w:tblBorders>
        <w:top w:val="single" w:sz="8" w:space="0" w:color="00ADD0" w:themeColor="accent4"/>
        <w:bottom w:val="single" w:sz="8" w:space="0" w:color="00ADD0" w:themeColor="accent4"/>
      </w:tblBorders>
    </w:tblPr>
    <w:tblStylePr w:type="firstRow">
      <w:pPr>
        <w:spacing w:before="0" w:after="0" w:line="240" w:lineRule="auto"/>
      </w:pPr>
      <w:rPr>
        <w:b/>
        <w:bCs/>
      </w:rPr>
      <w:tblPr/>
      <w:tcPr>
        <w:tcBorders>
          <w:top w:val="single" w:sz="8" w:space="0" w:color="00ADD0" w:themeColor="accent4"/>
          <w:left w:val="nil"/>
          <w:bottom w:val="single" w:sz="8" w:space="0" w:color="00ADD0" w:themeColor="accent4"/>
          <w:right w:val="nil"/>
          <w:insideH w:val="nil"/>
          <w:insideV w:val="nil"/>
        </w:tcBorders>
      </w:tcPr>
    </w:tblStylePr>
    <w:tblStylePr w:type="lastRow">
      <w:pPr>
        <w:spacing w:before="0" w:after="0" w:line="240" w:lineRule="auto"/>
      </w:pPr>
      <w:rPr>
        <w:b/>
        <w:bCs/>
      </w:rPr>
      <w:tblPr/>
      <w:tcPr>
        <w:tcBorders>
          <w:top w:val="single" w:sz="8" w:space="0" w:color="00ADD0" w:themeColor="accent4"/>
          <w:left w:val="nil"/>
          <w:bottom w:val="single" w:sz="8" w:space="0" w:color="00ADD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4F2FF" w:themeFill="accent4" w:themeFillTint="3F"/>
      </w:tcPr>
    </w:tblStylePr>
    <w:tblStylePr w:type="band1Horz">
      <w:tblPr/>
      <w:tcPr>
        <w:tcBorders>
          <w:left w:val="nil"/>
          <w:right w:val="nil"/>
          <w:insideH w:val="nil"/>
          <w:insideV w:val="nil"/>
        </w:tcBorders>
        <w:shd w:val="clear" w:color="auto" w:fill="B4F2FF" w:themeFill="accent4" w:themeFillTint="3F"/>
      </w:tcPr>
    </w:tblStylePr>
  </w:style>
  <w:style w:type="table" w:styleId="LightShading-Accent5">
    <w:name w:val="Light Shading Accent 5"/>
    <w:basedOn w:val="TableNormal"/>
    <w:uiPriority w:val="60"/>
    <w:locked/>
    <w:rsid w:val="00F80750"/>
    <w:pPr>
      <w:spacing w:after="0"/>
    </w:pPr>
    <w:rPr>
      <w:color w:val="A2A8A8" w:themeColor="accent5" w:themeShade="BF"/>
    </w:rPr>
    <w:tblPr>
      <w:tblStyleRowBandSize w:val="1"/>
      <w:tblStyleColBandSize w:val="1"/>
      <w:tblBorders>
        <w:top w:val="single" w:sz="8" w:space="0" w:color="DCDEDE" w:themeColor="accent5"/>
        <w:bottom w:val="single" w:sz="8" w:space="0" w:color="DCDEDE" w:themeColor="accent5"/>
      </w:tblBorders>
    </w:tblPr>
    <w:tblStylePr w:type="firstRow">
      <w:pPr>
        <w:spacing w:before="0" w:after="0" w:line="240" w:lineRule="auto"/>
      </w:pPr>
      <w:rPr>
        <w:b/>
        <w:bCs/>
      </w:rPr>
      <w:tblPr/>
      <w:tcPr>
        <w:tcBorders>
          <w:top w:val="single" w:sz="8" w:space="0" w:color="DCDEDE" w:themeColor="accent5"/>
          <w:left w:val="nil"/>
          <w:bottom w:val="single" w:sz="8" w:space="0" w:color="DCDEDE" w:themeColor="accent5"/>
          <w:right w:val="nil"/>
          <w:insideH w:val="nil"/>
          <w:insideV w:val="nil"/>
        </w:tcBorders>
      </w:tcPr>
    </w:tblStylePr>
    <w:tblStylePr w:type="lastRow">
      <w:pPr>
        <w:spacing w:before="0" w:after="0" w:line="240" w:lineRule="auto"/>
      </w:pPr>
      <w:rPr>
        <w:b/>
        <w:bCs/>
      </w:rPr>
      <w:tblPr/>
      <w:tcPr>
        <w:tcBorders>
          <w:top w:val="single" w:sz="8" w:space="0" w:color="DCDEDE" w:themeColor="accent5"/>
          <w:left w:val="nil"/>
          <w:bottom w:val="single" w:sz="8" w:space="0" w:color="DCDED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5" w:themeFillTint="3F"/>
      </w:tcPr>
    </w:tblStylePr>
    <w:tblStylePr w:type="band1Horz">
      <w:tblPr/>
      <w:tcPr>
        <w:tcBorders>
          <w:left w:val="nil"/>
          <w:right w:val="nil"/>
          <w:insideH w:val="nil"/>
          <w:insideV w:val="nil"/>
        </w:tcBorders>
        <w:shd w:val="clear" w:color="auto" w:fill="F6F6F6" w:themeFill="accent5" w:themeFillTint="3F"/>
      </w:tcPr>
    </w:tblStylePr>
  </w:style>
  <w:style w:type="table" w:styleId="LightShading-Accent6">
    <w:name w:val="Light Shading Accent 6"/>
    <w:basedOn w:val="TableNormal"/>
    <w:uiPriority w:val="60"/>
    <w:locked/>
    <w:rsid w:val="00F80750"/>
    <w:pPr>
      <w:spacing w:after="0"/>
    </w:pPr>
    <w:rPr>
      <w:color w:val="006074" w:themeColor="accent6" w:themeShade="BF"/>
    </w:rPr>
    <w:tblPr>
      <w:tblStyleRowBandSize w:val="1"/>
      <w:tblStyleColBandSize w:val="1"/>
      <w:tblBorders>
        <w:top w:val="single" w:sz="8" w:space="0" w:color="00819C" w:themeColor="accent6"/>
        <w:bottom w:val="single" w:sz="8" w:space="0" w:color="00819C" w:themeColor="accent6"/>
      </w:tblBorders>
    </w:tblPr>
    <w:tblStylePr w:type="firstRow">
      <w:pPr>
        <w:spacing w:before="0" w:after="0" w:line="240" w:lineRule="auto"/>
      </w:pPr>
      <w:rPr>
        <w:b/>
        <w:bCs/>
      </w:rPr>
      <w:tblPr/>
      <w:tcPr>
        <w:tcBorders>
          <w:top w:val="single" w:sz="8" w:space="0" w:color="00819C" w:themeColor="accent6"/>
          <w:left w:val="nil"/>
          <w:bottom w:val="single" w:sz="8" w:space="0" w:color="00819C" w:themeColor="accent6"/>
          <w:right w:val="nil"/>
          <w:insideH w:val="nil"/>
          <w:insideV w:val="nil"/>
        </w:tcBorders>
      </w:tcPr>
    </w:tblStylePr>
    <w:tblStylePr w:type="lastRow">
      <w:pPr>
        <w:spacing w:before="0" w:after="0" w:line="240" w:lineRule="auto"/>
      </w:pPr>
      <w:rPr>
        <w:b/>
        <w:bCs/>
      </w:rPr>
      <w:tblPr/>
      <w:tcPr>
        <w:tcBorders>
          <w:top w:val="single" w:sz="8" w:space="0" w:color="00819C" w:themeColor="accent6"/>
          <w:left w:val="nil"/>
          <w:bottom w:val="single" w:sz="8" w:space="0" w:color="00819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EFFF" w:themeFill="accent6" w:themeFillTint="3F"/>
      </w:tcPr>
    </w:tblStylePr>
    <w:tblStylePr w:type="band1Horz">
      <w:tblPr/>
      <w:tcPr>
        <w:tcBorders>
          <w:left w:val="nil"/>
          <w:right w:val="nil"/>
          <w:insideH w:val="nil"/>
          <w:insideV w:val="nil"/>
        </w:tcBorders>
        <w:shd w:val="clear" w:color="auto" w:fill="A7EFFF" w:themeFill="accent6" w:themeFillTint="3F"/>
      </w:tcPr>
    </w:tblStylePr>
  </w:style>
  <w:style w:type="character" w:styleId="LineNumber">
    <w:name w:val="line number"/>
    <w:basedOn w:val="DefaultParagraphFont"/>
    <w:uiPriority w:val="99"/>
    <w:semiHidden/>
    <w:unhideWhenUsed/>
    <w:locked/>
    <w:rsid w:val="00F80750"/>
    <w:rPr>
      <w:noProof w:val="0"/>
      <w:lang w:val="en-AU"/>
    </w:rPr>
  </w:style>
  <w:style w:type="paragraph" w:styleId="List">
    <w:name w:val="List"/>
    <w:basedOn w:val="Normal"/>
    <w:uiPriority w:val="18"/>
    <w:locked/>
    <w:rsid w:val="002439E1"/>
    <w:pPr>
      <w:numPr>
        <w:numId w:val="41"/>
      </w:numPr>
      <w:spacing w:before="120"/>
      <w:ind w:left="357" w:hanging="357"/>
    </w:pPr>
    <w:rPr>
      <w:rFonts w:ascii="Roboto Medium" w:hAnsi="Roboto Medium"/>
      <w:sz w:val="24"/>
    </w:rPr>
  </w:style>
  <w:style w:type="paragraph" w:styleId="List2">
    <w:name w:val="List 2"/>
    <w:basedOn w:val="Normal"/>
    <w:uiPriority w:val="18"/>
    <w:locked/>
    <w:rsid w:val="002439E1"/>
    <w:pPr>
      <w:numPr>
        <w:ilvl w:val="1"/>
        <w:numId w:val="41"/>
      </w:numPr>
      <w:spacing w:before="120"/>
      <w:ind w:left="714" w:hanging="357"/>
    </w:pPr>
  </w:style>
  <w:style w:type="paragraph" w:styleId="List3">
    <w:name w:val="List 3"/>
    <w:basedOn w:val="Normal"/>
    <w:uiPriority w:val="18"/>
    <w:locked/>
    <w:rsid w:val="002439E1"/>
    <w:pPr>
      <w:numPr>
        <w:ilvl w:val="2"/>
        <w:numId w:val="41"/>
      </w:numPr>
      <w:spacing w:before="120"/>
      <w:ind w:left="1077" w:hanging="357"/>
    </w:pPr>
  </w:style>
  <w:style w:type="paragraph" w:styleId="List4">
    <w:name w:val="List 4"/>
    <w:basedOn w:val="Normal"/>
    <w:uiPriority w:val="99"/>
    <w:semiHidden/>
    <w:unhideWhenUsed/>
    <w:locked/>
    <w:rsid w:val="00F80750"/>
    <w:pPr>
      <w:ind w:left="1132" w:hanging="283"/>
      <w:contextualSpacing/>
    </w:pPr>
  </w:style>
  <w:style w:type="paragraph" w:styleId="List5">
    <w:name w:val="List 5"/>
    <w:basedOn w:val="Normal"/>
    <w:uiPriority w:val="99"/>
    <w:semiHidden/>
    <w:unhideWhenUsed/>
    <w:locked/>
    <w:rsid w:val="00F80750"/>
    <w:pPr>
      <w:ind w:left="1415" w:hanging="283"/>
      <w:contextualSpacing/>
    </w:pPr>
  </w:style>
  <w:style w:type="paragraph" w:styleId="ListBullet5">
    <w:name w:val="List Bullet 5"/>
    <w:basedOn w:val="Normal"/>
    <w:uiPriority w:val="99"/>
    <w:semiHidden/>
    <w:locked/>
    <w:rsid w:val="00F80750"/>
    <w:pPr>
      <w:numPr>
        <w:numId w:val="21"/>
      </w:numPr>
      <w:contextualSpacing/>
    </w:pPr>
  </w:style>
  <w:style w:type="paragraph" w:styleId="ListContinue">
    <w:name w:val="List Continue"/>
    <w:basedOn w:val="Normal"/>
    <w:uiPriority w:val="99"/>
    <w:semiHidden/>
    <w:unhideWhenUsed/>
    <w:locked/>
    <w:rsid w:val="00F80750"/>
    <w:pPr>
      <w:ind w:left="283"/>
      <w:contextualSpacing/>
    </w:pPr>
  </w:style>
  <w:style w:type="paragraph" w:styleId="ListContinue2">
    <w:name w:val="List Continue 2"/>
    <w:basedOn w:val="Normal"/>
    <w:uiPriority w:val="99"/>
    <w:semiHidden/>
    <w:unhideWhenUsed/>
    <w:locked/>
    <w:rsid w:val="00F80750"/>
    <w:pPr>
      <w:ind w:left="566"/>
      <w:contextualSpacing/>
    </w:pPr>
  </w:style>
  <w:style w:type="paragraph" w:styleId="ListContinue3">
    <w:name w:val="List Continue 3"/>
    <w:basedOn w:val="Normal"/>
    <w:uiPriority w:val="99"/>
    <w:semiHidden/>
    <w:unhideWhenUsed/>
    <w:locked/>
    <w:rsid w:val="00F80750"/>
    <w:pPr>
      <w:ind w:left="849"/>
      <w:contextualSpacing/>
    </w:pPr>
  </w:style>
  <w:style w:type="paragraph" w:styleId="ListContinue4">
    <w:name w:val="List Continue 4"/>
    <w:basedOn w:val="Normal"/>
    <w:uiPriority w:val="99"/>
    <w:semiHidden/>
    <w:unhideWhenUsed/>
    <w:locked/>
    <w:rsid w:val="00F80750"/>
    <w:pPr>
      <w:ind w:left="1132"/>
      <w:contextualSpacing/>
    </w:pPr>
  </w:style>
  <w:style w:type="paragraph" w:styleId="ListContinue5">
    <w:name w:val="List Continue 5"/>
    <w:basedOn w:val="Normal"/>
    <w:uiPriority w:val="99"/>
    <w:semiHidden/>
    <w:unhideWhenUsed/>
    <w:locked/>
    <w:rsid w:val="00F80750"/>
    <w:pPr>
      <w:ind w:left="1415"/>
      <w:contextualSpacing/>
    </w:pPr>
  </w:style>
  <w:style w:type="paragraph" w:styleId="ListNumber5">
    <w:name w:val="List Number 5"/>
    <w:basedOn w:val="Normal"/>
    <w:uiPriority w:val="99"/>
    <w:semiHidden/>
    <w:locked/>
    <w:rsid w:val="00F80750"/>
    <w:pPr>
      <w:numPr>
        <w:numId w:val="22"/>
      </w:numPr>
      <w:contextualSpacing/>
    </w:pPr>
  </w:style>
  <w:style w:type="paragraph" w:styleId="ListParagraph">
    <w:name w:val="List Paragraph"/>
    <w:uiPriority w:val="34"/>
    <w:qFormat/>
    <w:rsid w:val="002439E1"/>
    <w:pPr>
      <w:tabs>
        <w:tab w:val="left" w:pos="357"/>
      </w:tabs>
      <w:spacing w:before="120"/>
      <w:ind w:left="357"/>
    </w:pPr>
  </w:style>
  <w:style w:type="paragraph" w:styleId="MacroText">
    <w:name w:val="macro"/>
    <w:link w:val="MacroTextChar"/>
    <w:uiPriority w:val="99"/>
    <w:semiHidden/>
    <w:unhideWhenUsed/>
    <w:locked/>
    <w:rsid w:val="00F807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rPr>
  </w:style>
  <w:style w:type="character" w:customStyle="1" w:styleId="MacroTextChar">
    <w:name w:val="Macro Text Char"/>
    <w:basedOn w:val="DefaultParagraphFont"/>
    <w:link w:val="MacroText"/>
    <w:uiPriority w:val="99"/>
    <w:semiHidden/>
    <w:rsid w:val="00F80750"/>
    <w:rPr>
      <w:rFonts w:ascii="Consolas" w:hAnsi="Consolas"/>
      <w:noProof w:val="0"/>
      <w:sz w:val="20"/>
      <w:szCs w:val="20"/>
      <w:lang w:val="en-AU"/>
    </w:rPr>
  </w:style>
  <w:style w:type="table" w:styleId="MediumGrid1">
    <w:name w:val="Medium Grid 1"/>
    <w:basedOn w:val="TableNormal"/>
    <w:uiPriority w:val="67"/>
    <w:locked/>
    <w:rsid w:val="00F80750"/>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locked/>
    <w:rsid w:val="00F80750"/>
    <w:pPr>
      <w:spacing w:after="0"/>
    </w:pPr>
    <w:tblPr>
      <w:tblStyleRowBandSize w:val="1"/>
      <w:tblStyleColBandSize w:val="1"/>
      <w:tblBorders>
        <w:top w:val="single" w:sz="8" w:space="0" w:color="FF8A52" w:themeColor="accent1" w:themeTint="BF"/>
        <w:left w:val="single" w:sz="8" w:space="0" w:color="FF8A52" w:themeColor="accent1" w:themeTint="BF"/>
        <w:bottom w:val="single" w:sz="8" w:space="0" w:color="FF8A52" w:themeColor="accent1" w:themeTint="BF"/>
        <w:right w:val="single" w:sz="8" w:space="0" w:color="FF8A52" w:themeColor="accent1" w:themeTint="BF"/>
        <w:insideH w:val="single" w:sz="8" w:space="0" w:color="FF8A52" w:themeColor="accent1" w:themeTint="BF"/>
        <w:insideV w:val="single" w:sz="8" w:space="0" w:color="FF8A52" w:themeColor="accent1" w:themeTint="BF"/>
      </w:tblBorders>
    </w:tblPr>
    <w:tcPr>
      <w:shd w:val="clear" w:color="auto" w:fill="FFD8C6" w:themeFill="accent1" w:themeFillTint="3F"/>
    </w:tcPr>
    <w:tblStylePr w:type="firstRow">
      <w:rPr>
        <w:b/>
        <w:bCs/>
      </w:rPr>
    </w:tblStylePr>
    <w:tblStylePr w:type="lastRow">
      <w:rPr>
        <w:b/>
        <w:bCs/>
      </w:rPr>
      <w:tblPr/>
      <w:tcPr>
        <w:tcBorders>
          <w:top w:val="single" w:sz="18" w:space="0" w:color="FF8A52" w:themeColor="accent1" w:themeTint="BF"/>
        </w:tcBorders>
      </w:tcPr>
    </w:tblStylePr>
    <w:tblStylePr w:type="firstCol">
      <w:rPr>
        <w:b/>
        <w:bCs/>
      </w:rPr>
    </w:tblStylePr>
    <w:tblStylePr w:type="lastCol">
      <w:rPr>
        <w:b/>
        <w:bCs/>
      </w:rPr>
    </w:tblStylePr>
    <w:tblStylePr w:type="band1Vert">
      <w:tblPr/>
      <w:tcPr>
        <w:shd w:val="clear" w:color="auto" w:fill="FFB18C" w:themeFill="accent1" w:themeFillTint="7F"/>
      </w:tcPr>
    </w:tblStylePr>
    <w:tblStylePr w:type="band1Horz">
      <w:tblPr/>
      <w:tcPr>
        <w:shd w:val="clear" w:color="auto" w:fill="FFB18C" w:themeFill="accent1" w:themeFillTint="7F"/>
      </w:tcPr>
    </w:tblStylePr>
  </w:style>
  <w:style w:type="table" w:styleId="MediumGrid1-Accent2">
    <w:name w:val="Medium Grid 1 Accent 2"/>
    <w:basedOn w:val="TableNormal"/>
    <w:uiPriority w:val="67"/>
    <w:locked/>
    <w:rsid w:val="00F80750"/>
    <w:pPr>
      <w:spacing w:after="0"/>
    </w:pPr>
    <w:tblPr>
      <w:tblStyleRowBandSize w:val="1"/>
      <w:tblStyleColBandSize w:val="1"/>
      <w:tblBorders>
        <w:top w:val="single" w:sz="8" w:space="0" w:color="7E8386" w:themeColor="accent2" w:themeTint="BF"/>
        <w:left w:val="single" w:sz="8" w:space="0" w:color="7E8386" w:themeColor="accent2" w:themeTint="BF"/>
        <w:bottom w:val="single" w:sz="8" w:space="0" w:color="7E8386" w:themeColor="accent2" w:themeTint="BF"/>
        <w:right w:val="single" w:sz="8" w:space="0" w:color="7E8386" w:themeColor="accent2" w:themeTint="BF"/>
        <w:insideH w:val="single" w:sz="8" w:space="0" w:color="7E8386" w:themeColor="accent2" w:themeTint="BF"/>
        <w:insideV w:val="single" w:sz="8" w:space="0" w:color="7E8386" w:themeColor="accent2" w:themeTint="BF"/>
      </w:tblBorders>
    </w:tblPr>
    <w:tcPr>
      <w:shd w:val="clear" w:color="auto" w:fill="D4D6D7" w:themeFill="accent2" w:themeFillTint="3F"/>
    </w:tcPr>
    <w:tblStylePr w:type="firstRow">
      <w:rPr>
        <w:b/>
        <w:bCs/>
      </w:rPr>
    </w:tblStylePr>
    <w:tblStylePr w:type="lastRow">
      <w:rPr>
        <w:b/>
        <w:bCs/>
      </w:rPr>
      <w:tblPr/>
      <w:tcPr>
        <w:tcBorders>
          <w:top w:val="single" w:sz="18" w:space="0" w:color="7E8386" w:themeColor="accent2" w:themeTint="BF"/>
        </w:tcBorders>
      </w:tcPr>
    </w:tblStylePr>
    <w:tblStylePr w:type="firstCol">
      <w:rPr>
        <w:b/>
        <w:bCs/>
      </w:rPr>
    </w:tblStylePr>
    <w:tblStylePr w:type="lastCol">
      <w:rPr>
        <w:b/>
        <w:bCs/>
      </w:rPr>
    </w:tblStylePr>
    <w:tblStylePr w:type="band1Vert">
      <w:tblPr/>
      <w:tcPr>
        <w:shd w:val="clear" w:color="auto" w:fill="A9ADAF" w:themeFill="accent2" w:themeFillTint="7F"/>
      </w:tcPr>
    </w:tblStylePr>
    <w:tblStylePr w:type="band1Horz">
      <w:tblPr/>
      <w:tcPr>
        <w:shd w:val="clear" w:color="auto" w:fill="A9ADAF" w:themeFill="accent2" w:themeFillTint="7F"/>
      </w:tcPr>
    </w:tblStylePr>
  </w:style>
  <w:style w:type="table" w:styleId="MediumGrid1-Accent3">
    <w:name w:val="Medium Grid 1 Accent 3"/>
    <w:basedOn w:val="TableNormal"/>
    <w:uiPriority w:val="67"/>
    <w:locked/>
    <w:rsid w:val="00F80750"/>
    <w:pPr>
      <w:spacing w:after="0"/>
    </w:pPr>
    <w:tblPr>
      <w:tblStyleRowBandSize w:val="1"/>
      <w:tblStyleColBandSize w:val="1"/>
      <w:tblBorders>
        <w:top w:val="single" w:sz="8" w:space="0" w:color="ACFF0A" w:themeColor="accent3" w:themeTint="BF"/>
        <w:left w:val="single" w:sz="8" w:space="0" w:color="ACFF0A" w:themeColor="accent3" w:themeTint="BF"/>
        <w:bottom w:val="single" w:sz="8" w:space="0" w:color="ACFF0A" w:themeColor="accent3" w:themeTint="BF"/>
        <w:right w:val="single" w:sz="8" w:space="0" w:color="ACFF0A" w:themeColor="accent3" w:themeTint="BF"/>
        <w:insideH w:val="single" w:sz="8" w:space="0" w:color="ACFF0A" w:themeColor="accent3" w:themeTint="BF"/>
        <w:insideV w:val="single" w:sz="8" w:space="0" w:color="ACFF0A" w:themeColor="accent3" w:themeTint="BF"/>
      </w:tblBorders>
    </w:tblPr>
    <w:tcPr>
      <w:shd w:val="clear" w:color="auto" w:fill="E3FFAE" w:themeFill="accent3" w:themeFillTint="3F"/>
    </w:tcPr>
    <w:tblStylePr w:type="firstRow">
      <w:rPr>
        <w:b/>
        <w:bCs/>
      </w:rPr>
    </w:tblStylePr>
    <w:tblStylePr w:type="lastRow">
      <w:rPr>
        <w:b/>
        <w:bCs/>
      </w:rPr>
      <w:tblPr/>
      <w:tcPr>
        <w:tcBorders>
          <w:top w:val="single" w:sz="18" w:space="0" w:color="ACFF0A" w:themeColor="accent3" w:themeTint="BF"/>
        </w:tcBorders>
      </w:tcPr>
    </w:tblStylePr>
    <w:tblStylePr w:type="firstCol">
      <w:rPr>
        <w:b/>
        <w:bCs/>
      </w:rPr>
    </w:tblStylePr>
    <w:tblStylePr w:type="lastCol">
      <w:rPr>
        <w:b/>
        <w:bCs/>
      </w:rPr>
    </w:tblStylePr>
    <w:tblStylePr w:type="band1Vert">
      <w:tblPr/>
      <w:tcPr>
        <w:shd w:val="clear" w:color="auto" w:fill="C8FF5C" w:themeFill="accent3" w:themeFillTint="7F"/>
      </w:tcPr>
    </w:tblStylePr>
    <w:tblStylePr w:type="band1Horz">
      <w:tblPr/>
      <w:tcPr>
        <w:shd w:val="clear" w:color="auto" w:fill="C8FF5C" w:themeFill="accent3" w:themeFillTint="7F"/>
      </w:tcPr>
    </w:tblStylePr>
  </w:style>
  <w:style w:type="table" w:styleId="MediumGrid1-Accent4">
    <w:name w:val="Medium Grid 1 Accent 4"/>
    <w:basedOn w:val="TableNormal"/>
    <w:uiPriority w:val="67"/>
    <w:locked/>
    <w:rsid w:val="00F80750"/>
    <w:pPr>
      <w:spacing w:after="0"/>
    </w:pPr>
    <w:tblPr>
      <w:tblStyleRowBandSize w:val="1"/>
      <w:tblStyleColBandSize w:val="1"/>
      <w:tblBorders>
        <w:top w:val="single" w:sz="8" w:space="0" w:color="1CD8FF" w:themeColor="accent4" w:themeTint="BF"/>
        <w:left w:val="single" w:sz="8" w:space="0" w:color="1CD8FF" w:themeColor="accent4" w:themeTint="BF"/>
        <w:bottom w:val="single" w:sz="8" w:space="0" w:color="1CD8FF" w:themeColor="accent4" w:themeTint="BF"/>
        <w:right w:val="single" w:sz="8" w:space="0" w:color="1CD8FF" w:themeColor="accent4" w:themeTint="BF"/>
        <w:insideH w:val="single" w:sz="8" w:space="0" w:color="1CD8FF" w:themeColor="accent4" w:themeTint="BF"/>
        <w:insideV w:val="single" w:sz="8" w:space="0" w:color="1CD8FF" w:themeColor="accent4" w:themeTint="BF"/>
      </w:tblBorders>
    </w:tblPr>
    <w:tcPr>
      <w:shd w:val="clear" w:color="auto" w:fill="B4F2FF" w:themeFill="accent4" w:themeFillTint="3F"/>
    </w:tcPr>
    <w:tblStylePr w:type="firstRow">
      <w:rPr>
        <w:b/>
        <w:bCs/>
      </w:rPr>
    </w:tblStylePr>
    <w:tblStylePr w:type="lastRow">
      <w:rPr>
        <w:b/>
        <w:bCs/>
      </w:rPr>
      <w:tblPr/>
      <w:tcPr>
        <w:tcBorders>
          <w:top w:val="single" w:sz="18" w:space="0" w:color="1CD8FF" w:themeColor="accent4" w:themeTint="BF"/>
        </w:tcBorders>
      </w:tcPr>
    </w:tblStylePr>
    <w:tblStylePr w:type="firstCol">
      <w:rPr>
        <w:b/>
        <w:bCs/>
      </w:rPr>
    </w:tblStylePr>
    <w:tblStylePr w:type="lastCol">
      <w:rPr>
        <w:b/>
        <w:bCs/>
      </w:rPr>
    </w:tblStylePr>
    <w:tblStylePr w:type="band1Vert">
      <w:tblPr/>
      <w:tcPr>
        <w:shd w:val="clear" w:color="auto" w:fill="68E5FF" w:themeFill="accent4" w:themeFillTint="7F"/>
      </w:tcPr>
    </w:tblStylePr>
    <w:tblStylePr w:type="band1Horz">
      <w:tblPr/>
      <w:tcPr>
        <w:shd w:val="clear" w:color="auto" w:fill="68E5FF" w:themeFill="accent4" w:themeFillTint="7F"/>
      </w:tcPr>
    </w:tblStylePr>
  </w:style>
  <w:style w:type="table" w:styleId="MediumGrid1-Accent5">
    <w:name w:val="Medium Grid 1 Accent 5"/>
    <w:basedOn w:val="TableNormal"/>
    <w:uiPriority w:val="67"/>
    <w:locked/>
    <w:rsid w:val="00F80750"/>
    <w:pPr>
      <w:spacing w:after="0"/>
    </w:pPr>
    <w:tblPr>
      <w:tblStyleRowBandSize w:val="1"/>
      <w:tblStyleColBandSize w:val="1"/>
      <w:tblBorders>
        <w:top w:val="single" w:sz="8" w:space="0" w:color="E4E6E6" w:themeColor="accent5" w:themeTint="BF"/>
        <w:left w:val="single" w:sz="8" w:space="0" w:color="E4E6E6" w:themeColor="accent5" w:themeTint="BF"/>
        <w:bottom w:val="single" w:sz="8" w:space="0" w:color="E4E6E6" w:themeColor="accent5" w:themeTint="BF"/>
        <w:right w:val="single" w:sz="8" w:space="0" w:color="E4E6E6" w:themeColor="accent5" w:themeTint="BF"/>
        <w:insideH w:val="single" w:sz="8" w:space="0" w:color="E4E6E6" w:themeColor="accent5" w:themeTint="BF"/>
        <w:insideV w:val="single" w:sz="8" w:space="0" w:color="E4E6E6" w:themeColor="accent5" w:themeTint="BF"/>
      </w:tblBorders>
    </w:tblPr>
    <w:tcPr>
      <w:shd w:val="clear" w:color="auto" w:fill="F6F6F6" w:themeFill="accent5" w:themeFillTint="3F"/>
    </w:tcPr>
    <w:tblStylePr w:type="firstRow">
      <w:rPr>
        <w:b/>
        <w:bCs/>
      </w:rPr>
    </w:tblStylePr>
    <w:tblStylePr w:type="lastRow">
      <w:rPr>
        <w:b/>
        <w:bCs/>
      </w:rPr>
      <w:tblPr/>
      <w:tcPr>
        <w:tcBorders>
          <w:top w:val="single" w:sz="18" w:space="0" w:color="E4E6E6" w:themeColor="accent5" w:themeTint="BF"/>
        </w:tcBorders>
      </w:tcPr>
    </w:tblStylePr>
    <w:tblStylePr w:type="firstCol">
      <w:rPr>
        <w:b/>
        <w:bCs/>
      </w:rPr>
    </w:tblStylePr>
    <w:tblStylePr w:type="lastCol">
      <w:rPr>
        <w:b/>
        <w:bCs/>
      </w:rPr>
    </w:tblStylePr>
    <w:tblStylePr w:type="band1Vert">
      <w:tblPr/>
      <w:tcPr>
        <w:shd w:val="clear" w:color="auto" w:fill="EDEEEE" w:themeFill="accent5" w:themeFillTint="7F"/>
      </w:tcPr>
    </w:tblStylePr>
    <w:tblStylePr w:type="band1Horz">
      <w:tblPr/>
      <w:tcPr>
        <w:shd w:val="clear" w:color="auto" w:fill="EDEEEE" w:themeFill="accent5" w:themeFillTint="7F"/>
      </w:tcPr>
    </w:tblStylePr>
  </w:style>
  <w:style w:type="table" w:styleId="MediumGrid1-Accent6">
    <w:name w:val="Medium Grid 1 Accent 6"/>
    <w:basedOn w:val="TableNormal"/>
    <w:uiPriority w:val="67"/>
    <w:locked/>
    <w:rsid w:val="00F80750"/>
    <w:pPr>
      <w:spacing w:after="0"/>
    </w:pPr>
    <w:tblPr>
      <w:tblStyleRowBandSize w:val="1"/>
      <w:tblStyleColBandSize w:val="1"/>
      <w:tblBorders>
        <w:top w:val="single" w:sz="8" w:space="0" w:color="00C9F4" w:themeColor="accent6" w:themeTint="BF"/>
        <w:left w:val="single" w:sz="8" w:space="0" w:color="00C9F4" w:themeColor="accent6" w:themeTint="BF"/>
        <w:bottom w:val="single" w:sz="8" w:space="0" w:color="00C9F4" w:themeColor="accent6" w:themeTint="BF"/>
        <w:right w:val="single" w:sz="8" w:space="0" w:color="00C9F4" w:themeColor="accent6" w:themeTint="BF"/>
        <w:insideH w:val="single" w:sz="8" w:space="0" w:color="00C9F4" w:themeColor="accent6" w:themeTint="BF"/>
        <w:insideV w:val="single" w:sz="8" w:space="0" w:color="00C9F4" w:themeColor="accent6" w:themeTint="BF"/>
      </w:tblBorders>
    </w:tblPr>
    <w:tcPr>
      <w:shd w:val="clear" w:color="auto" w:fill="A7EFFF" w:themeFill="accent6" w:themeFillTint="3F"/>
    </w:tcPr>
    <w:tblStylePr w:type="firstRow">
      <w:rPr>
        <w:b/>
        <w:bCs/>
      </w:rPr>
    </w:tblStylePr>
    <w:tblStylePr w:type="lastRow">
      <w:rPr>
        <w:b/>
        <w:bCs/>
      </w:rPr>
      <w:tblPr/>
      <w:tcPr>
        <w:tcBorders>
          <w:top w:val="single" w:sz="18" w:space="0" w:color="00C9F4" w:themeColor="accent6" w:themeTint="BF"/>
        </w:tcBorders>
      </w:tcPr>
    </w:tblStylePr>
    <w:tblStylePr w:type="firstCol">
      <w:rPr>
        <w:b/>
        <w:bCs/>
      </w:rPr>
    </w:tblStylePr>
    <w:tblStylePr w:type="lastCol">
      <w:rPr>
        <w:b/>
        <w:bCs/>
      </w:rPr>
    </w:tblStylePr>
    <w:tblStylePr w:type="band1Vert">
      <w:tblPr/>
      <w:tcPr>
        <w:shd w:val="clear" w:color="auto" w:fill="4EDFFF" w:themeFill="accent6" w:themeFillTint="7F"/>
      </w:tcPr>
    </w:tblStylePr>
    <w:tblStylePr w:type="band1Horz">
      <w:tblPr/>
      <w:tcPr>
        <w:shd w:val="clear" w:color="auto" w:fill="4EDFFF" w:themeFill="accent6" w:themeFillTint="7F"/>
      </w:tcPr>
    </w:tblStylePr>
  </w:style>
  <w:style w:type="table" w:styleId="MediumGrid2">
    <w:name w:val="Medium Grid 2"/>
    <w:basedOn w:val="TableNormal"/>
    <w:uiPriority w:val="68"/>
    <w:locked/>
    <w:rsid w:val="00F80750"/>
    <w:pPr>
      <w:spacing w:after="0"/>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locked/>
    <w:rsid w:val="00F80750"/>
    <w:pPr>
      <w:spacing w:after="0"/>
    </w:pPr>
    <w:rPr>
      <w:rFonts w:asciiTheme="majorHAnsi" w:eastAsiaTheme="majorEastAsia" w:hAnsiTheme="majorHAnsi" w:cstheme="majorBidi"/>
    </w:rPr>
    <w:tblPr>
      <w:tblStyleRowBandSize w:val="1"/>
      <w:tblStyleColBandSize w:val="1"/>
      <w:tblBorders>
        <w:top w:val="single" w:sz="8" w:space="0" w:color="FF6319" w:themeColor="accent1"/>
        <w:left w:val="single" w:sz="8" w:space="0" w:color="FF6319" w:themeColor="accent1"/>
        <w:bottom w:val="single" w:sz="8" w:space="0" w:color="FF6319" w:themeColor="accent1"/>
        <w:right w:val="single" w:sz="8" w:space="0" w:color="FF6319" w:themeColor="accent1"/>
        <w:insideH w:val="single" w:sz="8" w:space="0" w:color="FF6319" w:themeColor="accent1"/>
        <w:insideV w:val="single" w:sz="8" w:space="0" w:color="FF6319" w:themeColor="accent1"/>
      </w:tblBorders>
    </w:tblPr>
    <w:tcPr>
      <w:shd w:val="clear" w:color="auto" w:fill="FFD8C6" w:themeFill="accent1" w:themeFillTint="3F"/>
    </w:tcPr>
    <w:tblStylePr w:type="firstRow">
      <w:rPr>
        <w:b/>
        <w:bCs/>
        <w:color w:val="000000" w:themeColor="text1"/>
      </w:rPr>
      <w:tblPr/>
      <w:tcPr>
        <w:shd w:val="clear" w:color="auto" w:fill="FFEFE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FD1" w:themeFill="accent1" w:themeFillTint="33"/>
      </w:tcPr>
    </w:tblStylePr>
    <w:tblStylePr w:type="band1Vert">
      <w:tblPr/>
      <w:tcPr>
        <w:shd w:val="clear" w:color="auto" w:fill="FFB18C" w:themeFill="accent1" w:themeFillTint="7F"/>
      </w:tcPr>
    </w:tblStylePr>
    <w:tblStylePr w:type="band1Horz">
      <w:tblPr/>
      <w:tcPr>
        <w:tcBorders>
          <w:insideH w:val="single" w:sz="6" w:space="0" w:color="FF6319" w:themeColor="accent1"/>
          <w:insideV w:val="single" w:sz="6" w:space="0" w:color="FF6319" w:themeColor="accent1"/>
        </w:tcBorders>
        <w:shd w:val="clear" w:color="auto" w:fill="FFB18C"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locked/>
    <w:rsid w:val="00F80750"/>
    <w:pPr>
      <w:spacing w:after="0"/>
    </w:pPr>
    <w:rPr>
      <w:rFonts w:asciiTheme="majorHAnsi" w:eastAsiaTheme="majorEastAsia" w:hAnsiTheme="majorHAnsi" w:cstheme="majorBidi"/>
    </w:rPr>
    <w:tblPr>
      <w:tblStyleRowBandSize w:val="1"/>
      <w:tblStyleColBandSize w:val="1"/>
      <w:tblBorders>
        <w:top w:val="single" w:sz="8" w:space="0" w:color="565A5C" w:themeColor="accent2"/>
        <w:left w:val="single" w:sz="8" w:space="0" w:color="565A5C" w:themeColor="accent2"/>
        <w:bottom w:val="single" w:sz="8" w:space="0" w:color="565A5C" w:themeColor="accent2"/>
        <w:right w:val="single" w:sz="8" w:space="0" w:color="565A5C" w:themeColor="accent2"/>
        <w:insideH w:val="single" w:sz="8" w:space="0" w:color="565A5C" w:themeColor="accent2"/>
        <w:insideV w:val="single" w:sz="8" w:space="0" w:color="565A5C" w:themeColor="accent2"/>
      </w:tblBorders>
    </w:tblPr>
    <w:tcPr>
      <w:shd w:val="clear" w:color="auto" w:fill="D4D6D7" w:themeFill="accent2" w:themeFillTint="3F"/>
    </w:tcPr>
    <w:tblStylePr w:type="firstRow">
      <w:rPr>
        <w:b/>
        <w:bCs/>
        <w:color w:val="000000" w:themeColor="text1"/>
      </w:rPr>
      <w:tblPr/>
      <w:tcPr>
        <w:shd w:val="clear" w:color="auto" w:fill="EEEEE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DEDE" w:themeFill="accent2" w:themeFillTint="33"/>
      </w:tcPr>
    </w:tblStylePr>
    <w:tblStylePr w:type="band1Vert">
      <w:tblPr/>
      <w:tcPr>
        <w:shd w:val="clear" w:color="auto" w:fill="A9ADAF" w:themeFill="accent2" w:themeFillTint="7F"/>
      </w:tcPr>
    </w:tblStylePr>
    <w:tblStylePr w:type="band1Horz">
      <w:tblPr/>
      <w:tcPr>
        <w:tcBorders>
          <w:insideH w:val="single" w:sz="6" w:space="0" w:color="565A5C" w:themeColor="accent2"/>
          <w:insideV w:val="single" w:sz="6" w:space="0" w:color="565A5C" w:themeColor="accent2"/>
        </w:tcBorders>
        <w:shd w:val="clear" w:color="auto" w:fill="A9ADA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locked/>
    <w:rsid w:val="00F80750"/>
    <w:pPr>
      <w:spacing w:after="0"/>
    </w:pPr>
    <w:rPr>
      <w:rFonts w:asciiTheme="majorHAnsi" w:eastAsiaTheme="majorEastAsia" w:hAnsiTheme="majorHAnsi" w:cstheme="majorBidi"/>
    </w:rPr>
    <w:tblPr>
      <w:tblStyleRowBandSize w:val="1"/>
      <w:tblStyleColBandSize w:val="1"/>
      <w:tblBorders>
        <w:top w:val="single" w:sz="8" w:space="0" w:color="7AB800" w:themeColor="accent3"/>
        <w:left w:val="single" w:sz="8" w:space="0" w:color="7AB800" w:themeColor="accent3"/>
        <w:bottom w:val="single" w:sz="8" w:space="0" w:color="7AB800" w:themeColor="accent3"/>
        <w:right w:val="single" w:sz="8" w:space="0" w:color="7AB800" w:themeColor="accent3"/>
        <w:insideH w:val="single" w:sz="8" w:space="0" w:color="7AB800" w:themeColor="accent3"/>
        <w:insideV w:val="single" w:sz="8" w:space="0" w:color="7AB800" w:themeColor="accent3"/>
      </w:tblBorders>
    </w:tblPr>
    <w:tcPr>
      <w:shd w:val="clear" w:color="auto" w:fill="E3FFAE" w:themeFill="accent3" w:themeFillTint="3F"/>
    </w:tcPr>
    <w:tblStylePr w:type="firstRow">
      <w:rPr>
        <w:b/>
        <w:bCs/>
        <w:color w:val="000000" w:themeColor="text1"/>
      </w:rPr>
      <w:tblPr/>
      <w:tcPr>
        <w:shd w:val="clear" w:color="auto" w:fill="F4FFD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FBD" w:themeFill="accent3" w:themeFillTint="33"/>
      </w:tcPr>
    </w:tblStylePr>
    <w:tblStylePr w:type="band1Vert">
      <w:tblPr/>
      <w:tcPr>
        <w:shd w:val="clear" w:color="auto" w:fill="C8FF5C" w:themeFill="accent3" w:themeFillTint="7F"/>
      </w:tcPr>
    </w:tblStylePr>
    <w:tblStylePr w:type="band1Horz">
      <w:tblPr/>
      <w:tcPr>
        <w:tcBorders>
          <w:insideH w:val="single" w:sz="6" w:space="0" w:color="7AB800" w:themeColor="accent3"/>
          <w:insideV w:val="single" w:sz="6" w:space="0" w:color="7AB800" w:themeColor="accent3"/>
        </w:tcBorders>
        <w:shd w:val="clear" w:color="auto" w:fill="C8FF5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locked/>
    <w:rsid w:val="00F80750"/>
    <w:pPr>
      <w:spacing w:after="0"/>
    </w:pPr>
    <w:rPr>
      <w:rFonts w:asciiTheme="majorHAnsi" w:eastAsiaTheme="majorEastAsia" w:hAnsiTheme="majorHAnsi" w:cstheme="majorBidi"/>
    </w:rPr>
    <w:tblPr>
      <w:tblStyleRowBandSize w:val="1"/>
      <w:tblStyleColBandSize w:val="1"/>
      <w:tblBorders>
        <w:top w:val="single" w:sz="8" w:space="0" w:color="00ADD0" w:themeColor="accent4"/>
        <w:left w:val="single" w:sz="8" w:space="0" w:color="00ADD0" w:themeColor="accent4"/>
        <w:bottom w:val="single" w:sz="8" w:space="0" w:color="00ADD0" w:themeColor="accent4"/>
        <w:right w:val="single" w:sz="8" w:space="0" w:color="00ADD0" w:themeColor="accent4"/>
        <w:insideH w:val="single" w:sz="8" w:space="0" w:color="00ADD0" w:themeColor="accent4"/>
        <w:insideV w:val="single" w:sz="8" w:space="0" w:color="00ADD0" w:themeColor="accent4"/>
      </w:tblBorders>
    </w:tblPr>
    <w:tcPr>
      <w:shd w:val="clear" w:color="auto" w:fill="B4F2FF" w:themeFill="accent4" w:themeFillTint="3F"/>
    </w:tcPr>
    <w:tblStylePr w:type="firstRow">
      <w:rPr>
        <w:b/>
        <w:bCs/>
        <w:color w:val="000000" w:themeColor="text1"/>
      </w:rPr>
      <w:tblPr/>
      <w:tcPr>
        <w:shd w:val="clear" w:color="auto" w:fill="E1F9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F4FF" w:themeFill="accent4" w:themeFillTint="33"/>
      </w:tcPr>
    </w:tblStylePr>
    <w:tblStylePr w:type="band1Vert">
      <w:tblPr/>
      <w:tcPr>
        <w:shd w:val="clear" w:color="auto" w:fill="68E5FF" w:themeFill="accent4" w:themeFillTint="7F"/>
      </w:tcPr>
    </w:tblStylePr>
    <w:tblStylePr w:type="band1Horz">
      <w:tblPr/>
      <w:tcPr>
        <w:tcBorders>
          <w:insideH w:val="single" w:sz="6" w:space="0" w:color="00ADD0" w:themeColor="accent4"/>
          <w:insideV w:val="single" w:sz="6" w:space="0" w:color="00ADD0" w:themeColor="accent4"/>
        </w:tcBorders>
        <w:shd w:val="clear" w:color="auto" w:fill="68E5F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locked/>
    <w:rsid w:val="00F80750"/>
    <w:pPr>
      <w:spacing w:after="0"/>
    </w:pPr>
    <w:rPr>
      <w:rFonts w:asciiTheme="majorHAnsi" w:eastAsiaTheme="majorEastAsia" w:hAnsiTheme="majorHAnsi" w:cstheme="majorBidi"/>
    </w:rPr>
    <w:tblPr>
      <w:tblStyleRowBandSize w:val="1"/>
      <w:tblStyleColBandSize w:val="1"/>
      <w:tblBorders>
        <w:top w:val="single" w:sz="8" w:space="0" w:color="DCDEDE" w:themeColor="accent5"/>
        <w:left w:val="single" w:sz="8" w:space="0" w:color="DCDEDE" w:themeColor="accent5"/>
        <w:bottom w:val="single" w:sz="8" w:space="0" w:color="DCDEDE" w:themeColor="accent5"/>
        <w:right w:val="single" w:sz="8" w:space="0" w:color="DCDEDE" w:themeColor="accent5"/>
        <w:insideH w:val="single" w:sz="8" w:space="0" w:color="DCDEDE" w:themeColor="accent5"/>
        <w:insideV w:val="single" w:sz="8" w:space="0" w:color="DCDEDE" w:themeColor="accent5"/>
      </w:tblBorders>
    </w:tblPr>
    <w:tcPr>
      <w:shd w:val="clear" w:color="auto" w:fill="F6F6F6" w:themeFill="accent5" w:themeFillTint="3F"/>
    </w:tcPr>
    <w:tblStylePr w:type="firstRow">
      <w:rPr>
        <w:b/>
        <w:bCs/>
        <w:color w:val="000000" w:themeColor="text1"/>
      </w:rPr>
      <w:tblPr/>
      <w:tcPr>
        <w:shd w:val="clear" w:color="auto" w:fill="FBFB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F8F8" w:themeFill="accent5" w:themeFillTint="33"/>
      </w:tcPr>
    </w:tblStylePr>
    <w:tblStylePr w:type="band1Vert">
      <w:tblPr/>
      <w:tcPr>
        <w:shd w:val="clear" w:color="auto" w:fill="EDEEEE" w:themeFill="accent5" w:themeFillTint="7F"/>
      </w:tcPr>
    </w:tblStylePr>
    <w:tblStylePr w:type="band1Horz">
      <w:tblPr/>
      <w:tcPr>
        <w:tcBorders>
          <w:insideH w:val="single" w:sz="6" w:space="0" w:color="DCDEDE" w:themeColor="accent5"/>
          <w:insideV w:val="single" w:sz="6" w:space="0" w:color="DCDEDE" w:themeColor="accent5"/>
        </w:tcBorders>
        <w:shd w:val="clear" w:color="auto" w:fill="EDEEE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locked/>
    <w:rsid w:val="00F80750"/>
    <w:pPr>
      <w:spacing w:after="0"/>
    </w:pPr>
    <w:rPr>
      <w:rFonts w:asciiTheme="majorHAnsi" w:eastAsiaTheme="majorEastAsia" w:hAnsiTheme="majorHAnsi" w:cstheme="majorBidi"/>
    </w:rPr>
    <w:tblPr>
      <w:tblStyleRowBandSize w:val="1"/>
      <w:tblStyleColBandSize w:val="1"/>
      <w:tblBorders>
        <w:top w:val="single" w:sz="8" w:space="0" w:color="00819C" w:themeColor="accent6"/>
        <w:left w:val="single" w:sz="8" w:space="0" w:color="00819C" w:themeColor="accent6"/>
        <w:bottom w:val="single" w:sz="8" w:space="0" w:color="00819C" w:themeColor="accent6"/>
        <w:right w:val="single" w:sz="8" w:space="0" w:color="00819C" w:themeColor="accent6"/>
        <w:insideH w:val="single" w:sz="8" w:space="0" w:color="00819C" w:themeColor="accent6"/>
        <w:insideV w:val="single" w:sz="8" w:space="0" w:color="00819C" w:themeColor="accent6"/>
      </w:tblBorders>
    </w:tblPr>
    <w:tcPr>
      <w:shd w:val="clear" w:color="auto" w:fill="A7EFFF" w:themeFill="accent6" w:themeFillTint="3F"/>
    </w:tcPr>
    <w:tblStylePr w:type="firstRow">
      <w:rPr>
        <w:b/>
        <w:bCs/>
        <w:color w:val="000000" w:themeColor="text1"/>
      </w:rPr>
      <w:tblPr/>
      <w:tcPr>
        <w:shd w:val="clear" w:color="auto" w:fill="DCF8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2FF" w:themeFill="accent6" w:themeFillTint="33"/>
      </w:tcPr>
    </w:tblStylePr>
    <w:tblStylePr w:type="band1Vert">
      <w:tblPr/>
      <w:tcPr>
        <w:shd w:val="clear" w:color="auto" w:fill="4EDFFF" w:themeFill="accent6" w:themeFillTint="7F"/>
      </w:tcPr>
    </w:tblStylePr>
    <w:tblStylePr w:type="band1Horz">
      <w:tblPr/>
      <w:tcPr>
        <w:tcBorders>
          <w:insideH w:val="single" w:sz="6" w:space="0" w:color="00819C" w:themeColor="accent6"/>
          <w:insideV w:val="single" w:sz="6" w:space="0" w:color="00819C" w:themeColor="accent6"/>
        </w:tcBorders>
        <w:shd w:val="clear" w:color="auto" w:fill="4ED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locked/>
    <w:rsid w:val="00F80750"/>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locked/>
    <w:rsid w:val="00F80750"/>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8C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631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631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631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631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18C"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18C" w:themeFill="accent1" w:themeFillTint="7F"/>
      </w:tcPr>
    </w:tblStylePr>
  </w:style>
  <w:style w:type="table" w:styleId="MediumGrid3-Accent2">
    <w:name w:val="Medium Grid 3 Accent 2"/>
    <w:basedOn w:val="TableNormal"/>
    <w:uiPriority w:val="69"/>
    <w:locked/>
    <w:rsid w:val="00F80750"/>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4D6D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65A5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65A5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65A5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65A5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9ADA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9ADAF" w:themeFill="accent2" w:themeFillTint="7F"/>
      </w:tcPr>
    </w:tblStylePr>
  </w:style>
  <w:style w:type="table" w:styleId="MediumGrid3-Accent3">
    <w:name w:val="Medium Grid 3 Accent 3"/>
    <w:basedOn w:val="TableNormal"/>
    <w:uiPriority w:val="69"/>
    <w:locked/>
    <w:rsid w:val="00F80750"/>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FA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B8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B8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B8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B8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FF5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FF5C" w:themeFill="accent3" w:themeFillTint="7F"/>
      </w:tcPr>
    </w:tblStylePr>
  </w:style>
  <w:style w:type="table" w:styleId="MediumGrid3-Accent4">
    <w:name w:val="Medium Grid 3 Accent 4"/>
    <w:basedOn w:val="TableNormal"/>
    <w:uiPriority w:val="69"/>
    <w:locked/>
    <w:rsid w:val="00F80750"/>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4F2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DD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DD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DD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DD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8E5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8E5FF" w:themeFill="accent4" w:themeFillTint="7F"/>
      </w:tcPr>
    </w:tblStylePr>
  </w:style>
  <w:style w:type="table" w:styleId="MediumGrid3-Accent5">
    <w:name w:val="Medium Grid 3 Accent 5"/>
    <w:basedOn w:val="TableNormal"/>
    <w:uiPriority w:val="69"/>
    <w:locked/>
    <w:rsid w:val="00F80750"/>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6F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CDED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CDED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CDED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CDED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DEEE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DEEEE" w:themeFill="accent5" w:themeFillTint="7F"/>
      </w:tcPr>
    </w:tblStylePr>
  </w:style>
  <w:style w:type="table" w:styleId="MediumGrid3-Accent6">
    <w:name w:val="Medium Grid 3 Accent 6"/>
    <w:basedOn w:val="TableNormal"/>
    <w:uiPriority w:val="69"/>
    <w:locked/>
    <w:rsid w:val="00F80750"/>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E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19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19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19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19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D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DFFF" w:themeFill="accent6" w:themeFillTint="7F"/>
      </w:tcPr>
    </w:tblStylePr>
  </w:style>
  <w:style w:type="table" w:styleId="MediumList1">
    <w:name w:val="Medium List 1"/>
    <w:basedOn w:val="TableNormal"/>
    <w:uiPriority w:val="65"/>
    <w:locked/>
    <w:rsid w:val="00F80750"/>
    <w:pPr>
      <w:spacing w:after="0"/>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locked/>
    <w:rsid w:val="00F80750"/>
    <w:pPr>
      <w:spacing w:after="0"/>
    </w:pPr>
    <w:tblPr>
      <w:tblStyleRowBandSize w:val="1"/>
      <w:tblStyleColBandSize w:val="1"/>
      <w:tblBorders>
        <w:top w:val="single" w:sz="8" w:space="0" w:color="FF6319" w:themeColor="accent1"/>
        <w:bottom w:val="single" w:sz="8" w:space="0" w:color="FF6319" w:themeColor="accent1"/>
      </w:tblBorders>
    </w:tblPr>
    <w:tblStylePr w:type="firstRow">
      <w:rPr>
        <w:rFonts w:asciiTheme="majorHAnsi" w:eastAsiaTheme="majorEastAsia" w:hAnsiTheme="majorHAnsi" w:cstheme="majorBidi"/>
      </w:rPr>
      <w:tblPr/>
      <w:tcPr>
        <w:tcBorders>
          <w:top w:val="nil"/>
          <w:bottom w:val="single" w:sz="8" w:space="0" w:color="FF6319" w:themeColor="accent1"/>
        </w:tcBorders>
      </w:tcPr>
    </w:tblStylePr>
    <w:tblStylePr w:type="lastRow">
      <w:rPr>
        <w:b/>
        <w:bCs/>
        <w:color w:val="000000" w:themeColor="text2"/>
      </w:rPr>
      <w:tblPr/>
      <w:tcPr>
        <w:tcBorders>
          <w:top w:val="single" w:sz="8" w:space="0" w:color="FF6319" w:themeColor="accent1"/>
          <w:bottom w:val="single" w:sz="8" w:space="0" w:color="FF6319" w:themeColor="accent1"/>
        </w:tcBorders>
      </w:tcPr>
    </w:tblStylePr>
    <w:tblStylePr w:type="firstCol">
      <w:rPr>
        <w:b/>
        <w:bCs/>
      </w:rPr>
    </w:tblStylePr>
    <w:tblStylePr w:type="lastCol">
      <w:rPr>
        <w:b/>
        <w:bCs/>
      </w:rPr>
      <w:tblPr/>
      <w:tcPr>
        <w:tcBorders>
          <w:top w:val="single" w:sz="8" w:space="0" w:color="FF6319" w:themeColor="accent1"/>
          <w:bottom w:val="single" w:sz="8" w:space="0" w:color="FF6319" w:themeColor="accent1"/>
        </w:tcBorders>
      </w:tcPr>
    </w:tblStylePr>
    <w:tblStylePr w:type="band1Vert">
      <w:tblPr/>
      <w:tcPr>
        <w:shd w:val="clear" w:color="auto" w:fill="FFD8C6" w:themeFill="accent1" w:themeFillTint="3F"/>
      </w:tcPr>
    </w:tblStylePr>
    <w:tblStylePr w:type="band1Horz">
      <w:tblPr/>
      <w:tcPr>
        <w:shd w:val="clear" w:color="auto" w:fill="FFD8C6" w:themeFill="accent1" w:themeFillTint="3F"/>
      </w:tcPr>
    </w:tblStylePr>
  </w:style>
  <w:style w:type="table" w:styleId="MediumList1-Accent2">
    <w:name w:val="Medium List 1 Accent 2"/>
    <w:basedOn w:val="TableNormal"/>
    <w:uiPriority w:val="65"/>
    <w:locked/>
    <w:rsid w:val="00F80750"/>
    <w:pPr>
      <w:spacing w:after="0"/>
    </w:pPr>
    <w:tblPr>
      <w:tblStyleRowBandSize w:val="1"/>
      <w:tblStyleColBandSize w:val="1"/>
      <w:tblBorders>
        <w:top w:val="single" w:sz="8" w:space="0" w:color="565A5C" w:themeColor="accent2"/>
        <w:bottom w:val="single" w:sz="8" w:space="0" w:color="565A5C" w:themeColor="accent2"/>
      </w:tblBorders>
    </w:tblPr>
    <w:tblStylePr w:type="firstRow">
      <w:rPr>
        <w:rFonts w:asciiTheme="majorHAnsi" w:eastAsiaTheme="majorEastAsia" w:hAnsiTheme="majorHAnsi" w:cstheme="majorBidi"/>
      </w:rPr>
      <w:tblPr/>
      <w:tcPr>
        <w:tcBorders>
          <w:top w:val="nil"/>
          <w:bottom w:val="single" w:sz="8" w:space="0" w:color="565A5C" w:themeColor="accent2"/>
        </w:tcBorders>
      </w:tcPr>
    </w:tblStylePr>
    <w:tblStylePr w:type="lastRow">
      <w:rPr>
        <w:b/>
        <w:bCs/>
        <w:color w:val="000000" w:themeColor="text2"/>
      </w:rPr>
      <w:tblPr/>
      <w:tcPr>
        <w:tcBorders>
          <w:top w:val="single" w:sz="8" w:space="0" w:color="565A5C" w:themeColor="accent2"/>
          <w:bottom w:val="single" w:sz="8" w:space="0" w:color="565A5C" w:themeColor="accent2"/>
        </w:tcBorders>
      </w:tcPr>
    </w:tblStylePr>
    <w:tblStylePr w:type="firstCol">
      <w:rPr>
        <w:b/>
        <w:bCs/>
      </w:rPr>
    </w:tblStylePr>
    <w:tblStylePr w:type="lastCol">
      <w:rPr>
        <w:b/>
        <w:bCs/>
      </w:rPr>
      <w:tblPr/>
      <w:tcPr>
        <w:tcBorders>
          <w:top w:val="single" w:sz="8" w:space="0" w:color="565A5C" w:themeColor="accent2"/>
          <w:bottom w:val="single" w:sz="8" w:space="0" w:color="565A5C" w:themeColor="accent2"/>
        </w:tcBorders>
      </w:tcPr>
    </w:tblStylePr>
    <w:tblStylePr w:type="band1Vert">
      <w:tblPr/>
      <w:tcPr>
        <w:shd w:val="clear" w:color="auto" w:fill="D4D6D7" w:themeFill="accent2" w:themeFillTint="3F"/>
      </w:tcPr>
    </w:tblStylePr>
    <w:tblStylePr w:type="band1Horz">
      <w:tblPr/>
      <w:tcPr>
        <w:shd w:val="clear" w:color="auto" w:fill="D4D6D7" w:themeFill="accent2" w:themeFillTint="3F"/>
      </w:tcPr>
    </w:tblStylePr>
  </w:style>
  <w:style w:type="table" w:styleId="MediumList1-Accent3">
    <w:name w:val="Medium List 1 Accent 3"/>
    <w:basedOn w:val="TableNormal"/>
    <w:uiPriority w:val="65"/>
    <w:locked/>
    <w:rsid w:val="00F80750"/>
    <w:pPr>
      <w:spacing w:after="0"/>
    </w:pPr>
    <w:tblPr>
      <w:tblStyleRowBandSize w:val="1"/>
      <w:tblStyleColBandSize w:val="1"/>
      <w:tblBorders>
        <w:top w:val="single" w:sz="8" w:space="0" w:color="7AB800" w:themeColor="accent3"/>
        <w:bottom w:val="single" w:sz="8" w:space="0" w:color="7AB800" w:themeColor="accent3"/>
      </w:tblBorders>
    </w:tblPr>
    <w:tblStylePr w:type="firstRow">
      <w:rPr>
        <w:rFonts w:asciiTheme="majorHAnsi" w:eastAsiaTheme="majorEastAsia" w:hAnsiTheme="majorHAnsi" w:cstheme="majorBidi"/>
      </w:rPr>
      <w:tblPr/>
      <w:tcPr>
        <w:tcBorders>
          <w:top w:val="nil"/>
          <w:bottom w:val="single" w:sz="8" w:space="0" w:color="7AB800" w:themeColor="accent3"/>
        </w:tcBorders>
      </w:tcPr>
    </w:tblStylePr>
    <w:tblStylePr w:type="lastRow">
      <w:rPr>
        <w:b/>
        <w:bCs/>
        <w:color w:val="000000" w:themeColor="text2"/>
      </w:rPr>
      <w:tblPr/>
      <w:tcPr>
        <w:tcBorders>
          <w:top w:val="single" w:sz="8" w:space="0" w:color="7AB800" w:themeColor="accent3"/>
          <w:bottom w:val="single" w:sz="8" w:space="0" w:color="7AB800" w:themeColor="accent3"/>
        </w:tcBorders>
      </w:tcPr>
    </w:tblStylePr>
    <w:tblStylePr w:type="firstCol">
      <w:rPr>
        <w:b/>
        <w:bCs/>
      </w:rPr>
    </w:tblStylePr>
    <w:tblStylePr w:type="lastCol">
      <w:rPr>
        <w:b/>
        <w:bCs/>
      </w:rPr>
      <w:tblPr/>
      <w:tcPr>
        <w:tcBorders>
          <w:top w:val="single" w:sz="8" w:space="0" w:color="7AB800" w:themeColor="accent3"/>
          <w:bottom w:val="single" w:sz="8" w:space="0" w:color="7AB800" w:themeColor="accent3"/>
        </w:tcBorders>
      </w:tcPr>
    </w:tblStylePr>
    <w:tblStylePr w:type="band1Vert">
      <w:tblPr/>
      <w:tcPr>
        <w:shd w:val="clear" w:color="auto" w:fill="E3FFAE" w:themeFill="accent3" w:themeFillTint="3F"/>
      </w:tcPr>
    </w:tblStylePr>
    <w:tblStylePr w:type="band1Horz">
      <w:tblPr/>
      <w:tcPr>
        <w:shd w:val="clear" w:color="auto" w:fill="E3FFAE" w:themeFill="accent3" w:themeFillTint="3F"/>
      </w:tcPr>
    </w:tblStylePr>
  </w:style>
  <w:style w:type="table" w:styleId="MediumList1-Accent4">
    <w:name w:val="Medium List 1 Accent 4"/>
    <w:basedOn w:val="TableNormal"/>
    <w:uiPriority w:val="65"/>
    <w:locked/>
    <w:rsid w:val="00F80750"/>
    <w:pPr>
      <w:spacing w:after="0"/>
    </w:pPr>
    <w:tblPr>
      <w:tblStyleRowBandSize w:val="1"/>
      <w:tblStyleColBandSize w:val="1"/>
      <w:tblBorders>
        <w:top w:val="single" w:sz="8" w:space="0" w:color="00ADD0" w:themeColor="accent4"/>
        <w:bottom w:val="single" w:sz="8" w:space="0" w:color="00ADD0" w:themeColor="accent4"/>
      </w:tblBorders>
    </w:tblPr>
    <w:tblStylePr w:type="firstRow">
      <w:rPr>
        <w:rFonts w:asciiTheme="majorHAnsi" w:eastAsiaTheme="majorEastAsia" w:hAnsiTheme="majorHAnsi" w:cstheme="majorBidi"/>
      </w:rPr>
      <w:tblPr/>
      <w:tcPr>
        <w:tcBorders>
          <w:top w:val="nil"/>
          <w:bottom w:val="single" w:sz="8" w:space="0" w:color="00ADD0" w:themeColor="accent4"/>
        </w:tcBorders>
      </w:tcPr>
    </w:tblStylePr>
    <w:tblStylePr w:type="lastRow">
      <w:rPr>
        <w:b/>
        <w:bCs/>
        <w:color w:val="000000" w:themeColor="text2"/>
      </w:rPr>
      <w:tblPr/>
      <w:tcPr>
        <w:tcBorders>
          <w:top w:val="single" w:sz="8" w:space="0" w:color="00ADD0" w:themeColor="accent4"/>
          <w:bottom w:val="single" w:sz="8" w:space="0" w:color="00ADD0" w:themeColor="accent4"/>
        </w:tcBorders>
      </w:tcPr>
    </w:tblStylePr>
    <w:tblStylePr w:type="firstCol">
      <w:rPr>
        <w:b/>
        <w:bCs/>
      </w:rPr>
    </w:tblStylePr>
    <w:tblStylePr w:type="lastCol">
      <w:rPr>
        <w:b/>
        <w:bCs/>
      </w:rPr>
      <w:tblPr/>
      <w:tcPr>
        <w:tcBorders>
          <w:top w:val="single" w:sz="8" w:space="0" w:color="00ADD0" w:themeColor="accent4"/>
          <w:bottom w:val="single" w:sz="8" w:space="0" w:color="00ADD0" w:themeColor="accent4"/>
        </w:tcBorders>
      </w:tcPr>
    </w:tblStylePr>
    <w:tblStylePr w:type="band1Vert">
      <w:tblPr/>
      <w:tcPr>
        <w:shd w:val="clear" w:color="auto" w:fill="B4F2FF" w:themeFill="accent4" w:themeFillTint="3F"/>
      </w:tcPr>
    </w:tblStylePr>
    <w:tblStylePr w:type="band1Horz">
      <w:tblPr/>
      <w:tcPr>
        <w:shd w:val="clear" w:color="auto" w:fill="B4F2FF" w:themeFill="accent4" w:themeFillTint="3F"/>
      </w:tcPr>
    </w:tblStylePr>
  </w:style>
  <w:style w:type="table" w:styleId="MediumList1-Accent5">
    <w:name w:val="Medium List 1 Accent 5"/>
    <w:basedOn w:val="TableNormal"/>
    <w:uiPriority w:val="65"/>
    <w:locked/>
    <w:rsid w:val="00F80750"/>
    <w:pPr>
      <w:spacing w:after="0"/>
    </w:pPr>
    <w:tblPr>
      <w:tblStyleRowBandSize w:val="1"/>
      <w:tblStyleColBandSize w:val="1"/>
      <w:tblBorders>
        <w:top w:val="single" w:sz="8" w:space="0" w:color="DCDEDE" w:themeColor="accent5"/>
        <w:bottom w:val="single" w:sz="8" w:space="0" w:color="DCDEDE" w:themeColor="accent5"/>
      </w:tblBorders>
    </w:tblPr>
    <w:tblStylePr w:type="firstRow">
      <w:rPr>
        <w:rFonts w:asciiTheme="majorHAnsi" w:eastAsiaTheme="majorEastAsia" w:hAnsiTheme="majorHAnsi" w:cstheme="majorBidi"/>
      </w:rPr>
      <w:tblPr/>
      <w:tcPr>
        <w:tcBorders>
          <w:top w:val="nil"/>
          <w:bottom w:val="single" w:sz="8" w:space="0" w:color="DCDEDE" w:themeColor="accent5"/>
        </w:tcBorders>
      </w:tcPr>
    </w:tblStylePr>
    <w:tblStylePr w:type="lastRow">
      <w:rPr>
        <w:b/>
        <w:bCs/>
        <w:color w:val="000000" w:themeColor="text2"/>
      </w:rPr>
      <w:tblPr/>
      <w:tcPr>
        <w:tcBorders>
          <w:top w:val="single" w:sz="8" w:space="0" w:color="DCDEDE" w:themeColor="accent5"/>
          <w:bottom w:val="single" w:sz="8" w:space="0" w:color="DCDEDE" w:themeColor="accent5"/>
        </w:tcBorders>
      </w:tcPr>
    </w:tblStylePr>
    <w:tblStylePr w:type="firstCol">
      <w:rPr>
        <w:b/>
        <w:bCs/>
      </w:rPr>
    </w:tblStylePr>
    <w:tblStylePr w:type="lastCol">
      <w:rPr>
        <w:b/>
        <w:bCs/>
      </w:rPr>
      <w:tblPr/>
      <w:tcPr>
        <w:tcBorders>
          <w:top w:val="single" w:sz="8" w:space="0" w:color="DCDEDE" w:themeColor="accent5"/>
          <w:bottom w:val="single" w:sz="8" w:space="0" w:color="DCDEDE" w:themeColor="accent5"/>
        </w:tcBorders>
      </w:tcPr>
    </w:tblStylePr>
    <w:tblStylePr w:type="band1Vert">
      <w:tblPr/>
      <w:tcPr>
        <w:shd w:val="clear" w:color="auto" w:fill="F6F6F6" w:themeFill="accent5" w:themeFillTint="3F"/>
      </w:tcPr>
    </w:tblStylePr>
    <w:tblStylePr w:type="band1Horz">
      <w:tblPr/>
      <w:tcPr>
        <w:shd w:val="clear" w:color="auto" w:fill="F6F6F6" w:themeFill="accent5" w:themeFillTint="3F"/>
      </w:tcPr>
    </w:tblStylePr>
  </w:style>
  <w:style w:type="table" w:styleId="MediumList1-Accent6">
    <w:name w:val="Medium List 1 Accent 6"/>
    <w:basedOn w:val="TableNormal"/>
    <w:uiPriority w:val="65"/>
    <w:locked/>
    <w:rsid w:val="00F80750"/>
    <w:pPr>
      <w:spacing w:after="0"/>
    </w:pPr>
    <w:tblPr>
      <w:tblStyleRowBandSize w:val="1"/>
      <w:tblStyleColBandSize w:val="1"/>
      <w:tblBorders>
        <w:top w:val="single" w:sz="8" w:space="0" w:color="00819C" w:themeColor="accent6"/>
        <w:bottom w:val="single" w:sz="8" w:space="0" w:color="00819C" w:themeColor="accent6"/>
      </w:tblBorders>
    </w:tblPr>
    <w:tblStylePr w:type="firstRow">
      <w:rPr>
        <w:rFonts w:asciiTheme="majorHAnsi" w:eastAsiaTheme="majorEastAsia" w:hAnsiTheme="majorHAnsi" w:cstheme="majorBidi"/>
      </w:rPr>
      <w:tblPr/>
      <w:tcPr>
        <w:tcBorders>
          <w:top w:val="nil"/>
          <w:bottom w:val="single" w:sz="8" w:space="0" w:color="00819C" w:themeColor="accent6"/>
        </w:tcBorders>
      </w:tcPr>
    </w:tblStylePr>
    <w:tblStylePr w:type="lastRow">
      <w:rPr>
        <w:b/>
        <w:bCs/>
        <w:color w:val="000000" w:themeColor="text2"/>
      </w:rPr>
      <w:tblPr/>
      <w:tcPr>
        <w:tcBorders>
          <w:top w:val="single" w:sz="8" w:space="0" w:color="00819C" w:themeColor="accent6"/>
          <w:bottom w:val="single" w:sz="8" w:space="0" w:color="00819C" w:themeColor="accent6"/>
        </w:tcBorders>
      </w:tcPr>
    </w:tblStylePr>
    <w:tblStylePr w:type="firstCol">
      <w:rPr>
        <w:b/>
        <w:bCs/>
      </w:rPr>
    </w:tblStylePr>
    <w:tblStylePr w:type="lastCol">
      <w:rPr>
        <w:b/>
        <w:bCs/>
      </w:rPr>
      <w:tblPr/>
      <w:tcPr>
        <w:tcBorders>
          <w:top w:val="single" w:sz="8" w:space="0" w:color="00819C" w:themeColor="accent6"/>
          <w:bottom w:val="single" w:sz="8" w:space="0" w:color="00819C" w:themeColor="accent6"/>
        </w:tcBorders>
      </w:tcPr>
    </w:tblStylePr>
    <w:tblStylePr w:type="band1Vert">
      <w:tblPr/>
      <w:tcPr>
        <w:shd w:val="clear" w:color="auto" w:fill="A7EFFF" w:themeFill="accent6" w:themeFillTint="3F"/>
      </w:tcPr>
    </w:tblStylePr>
    <w:tblStylePr w:type="band1Horz">
      <w:tblPr/>
      <w:tcPr>
        <w:shd w:val="clear" w:color="auto" w:fill="A7EFFF" w:themeFill="accent6" w:themeFillTint="3F"/>
      </w:tcPr>
    </w:tblStylePr>
  </w:style>
  <w:style w:type="table" w:styleId="MediumList2">
    <w:name w:val="Medium List 2"/>
    <w:basedOn w:val="TableNormal"/>
    <w:uiPriority w:val="66"/>
    <w:locked/>
    <w:rsid w:val="00F80750"/>
    <w:pPr>
      <w:spacing w:after="0"/>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locked/>
    <w:rsid w:val="00F80750"/>
    <w:pPr>
      <w:spacing w:after="0"/>
    </w:pPr>
    <w:rPr>
      <w:rFonts w:asciiTheme="majorHAnsi" w:eastAsiaTheme="majorEastAsia" w:hAnsiTheme="majorHAnsi" w:cstheme="majorBidi"/>
    </w:rPr>
    <w:tblPr>
      <w:tblStyleRowBandSize w:val="1"/>
      <w:tblStyleColBandSize w:val="1"/>
      <w:tblBorders>
        <w:top w:val="single" w:sz="8" w:space="0" w:color="FF6319" w:themeColor="accent1"/>
        <w:left w:val="single" w:sz="8" w:space="0" w:color="FF6319" w:themeColor="accent1"/>
        <w:bottom w:val="single" w:sz="8" w:space="0" w:color="FF6319" w:themeColor="accent1"/>
        <w:right w:val="single" w:sz="8" w:space="0" w:color="FF6319" w:themeColor="accent1"/>
      </w:tblBorders>
    </w:tblPr>
    <w:tblStylePr w:type="firstRow">
      <w:rPr>
        <w:sz w:val="24"/>
        <w:szCs w:val="24"/>
      </w:rPr>
      <w:tblPr/>
      <w:tcPr>
        <w:tcBorders>
          <w:top w:val="nil"/>
          <w:left w:val="nil"/>
          <w:bottom w:val="single" w:sz="24" w:space="0" w:color="FF6319" w:themeColor="accent1"/>
          <w:right w:val="nil"/>
          <w:insideH w:val="nil"/>
          <w:insideV w:val="nil"/>
        </w:tcBorders>
        <w:shd w:val="clear" w:color="auto" w:fill="FFFFFF" w:themeFill="background1"/>
      </w:tcPr>
    </w:tblStylePr>
    <w:tblStylePr w:type="lastRow">
      <w:tblPr/>
      <w:tcPr>
        <w:tcBorders>
          <w:top w:val="single" w:sz="8" w:space="0" w:color="FF631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6319" w:themeColor="accent1"/>
          <w:insideH w:val="nil"/>
          <w:insideV w:val="nil"/>
        </w:tcBorders>
        <w:shd w:val="clear" w:color="auto" w:fill="FFFFFF" w:themeFill="background1"/>
      </w:tcPr>
    </w:tblStylePr>
    <w:tblStylePr w:type="lastCol">
      <w:tblPr/>
      <w:tcPr>
        <w:tcBorders>
          <w:top w:val="nil"/>
          <w:left w:val="single" w:sz="8" w:space="0" w:color="FF631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8C6" w:themeFill="accent1" w:themeFillTint="3F"/>
      </w:tcPr>
    </w:tblStylePr>
    <w:tblStylePr w:type="band1Horz">
      <w:tblPr/>
      <w:tcPr>
        <w:tcBorders>
          <w:top w:val="nil"/>
          <w:bottom w:val="nil"/>
          <w:insideH w:val="nil"/>
          <w:insideV w:val="nil"/>
        </w:tcBorders>
        <w:shd w:val="clear" w:color="auto" w:fill="FFD8C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locked/>
    <w:rsid w:val="00F80750"/>
    <w:pPr>
      <w:spacing w:after="0"/>
    </w:pPr>
    <w:rPr>
      <w:rFonts w:asciiTheme="majorHAnsi" w:eastAsiaTheme="majorEastAsia" w:hAnsiTheme="majorHAnsi" w:cstheme="majorBidi"/>
    </w:rPr>
    <w:tblPr>
      <w:tblStyleRowBandSize w:val="1"/>
      <w:tblStyleColBandSize w:val="1"/>
      <w:tblBorders>
        <w:top w:val="single" w:sz="8" w:space="0" w:color="565A5C" w:themeColor="accent2"/>
        <w:left w:val="single" w:sz="8" w:space="0" w:color="565A5C" w:themeColor="accent2"/>
        <w:bottom w:val="single" w:sz="8" w:space="0" w:color="565A5C" w:themeColor="accent2"/>
        <w:right w:val="single" w:sz="8" w:space="0" w:color="565A5C" w:themeColor="accent2"/>
      </w:tblBorders>
    </w:tblPr>
    <w:tblStylePr w:type="firstRow">
      <w:rPr>
        <w:sz w:val="24"/>
        <w:szCs w:val="24"/>
      </w:rPr>
      <w:tblPr/>
      <w:tcPr>
        <w:tcBorders>
          <w:top w:val="nil"/>
          <w:left w:val="nil"/>
          <w:bottom w:val="single" w:sz="24" w:space="0" w:color="565A5C" w:themeColor="accent2"/>
          <w:right w:val="nil"/>
          <w:insideH w:val="nil"/>
          <w:insideV w:val="nil"/>
        </w:tcBorders>
        <w:shd w:val="clear" w:color="auto" w:fill="FFFFFF" w:themeFill="background1"/>
      </w:tcPr>
    </w:tblStylePr>
    <w:tblStylePr w:type="lastRow">
      <w:tblPr/>
      <w:tcPr>
        <w:tcBorders>
          <w:top w:val="single" w:sz="8" w:space="0" w:color="565A5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65A5C" w:themeColor="accent2"/>
          <w:insideH w:val="nil"/>
          <w:insideV w:val="nil"/>
        </w:tcBorders>
        <w:shd w:val="clear" w:color="auto" w:fill="FFFFFF" w:themeFill="background1"/>
      </w:tcPr>
    </w:tblStylePr>
    <w:tblStylePr w:type="lastCol">
      <w:tblPr/>
      <w:tcPr>
        <w:tcBorders>
          <w:top w:val="nil"/>
          <w:left w:val="single" w:sz="8" w:space="0" w:color="565A5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D6D7" w:themeFill="accent2" w:themeFillTint="3F"/>
      </w:tcPr>
    </w:tblStylePr>
    <w:tblStylePr w:type="band1Horz">
      <w:tblPr/>
      <w:tcPr>
        <w:tcBorders>
          <w:top w:val="nil"/>
          <w:bottom w:val="nil"/>
          <w:insideH w:val="nil"/>
          <w:insideV w:val="nil"/>
        </w:tcBorders>
        <w:shd w:val="clear" w:color="auto" w:fill="D4D6D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locked/>
    <w:rsid w:val="00F80750"/>
    <w:pPr>
      <w:spacing w:after="0"/>
    </w:pPr>
    <w:rPr>
      <w:rFonts w:asciiTheme="majorHAnsi" w:eastAsiaTheme="majorEastAsia" w:hAnsiTheme="majorHAnsi" w:cstheme="majorBidi"/>
    </w:rPr>
    <w:tblPr>
      <w:tblStyleRowBandSize w:val="1"/>
      <w:tblStyleColBandSize w:val="1"/>
      <w:tblBorders>
        <w:top w:val="single" w:sz="8" w:space="0" w:color="7AB800" w:themeColor="accent3"/>
        <w:left w:val="single" w:sz="8" w:space="0" w:color="7AB800" w:themeColor="accent3"/>
        <w:bottom w:val="single" w:sz="8" w:space="0" w:color="7AB800" w:themeColor="accent3"/>
        <w:right w:val="single" w:sz="8" w:space="0" w:color="7AB800" w:themeColor="accent3"/>
      </w:tblBorders>
    </w:tblPr>
    <w:tblStylePr w:type="firstRow">
      <w:rPr>
        <w:sz w:val="24"/>
        <w:szCs w:val="24"/>
      </w:rPr>
      <w:tblPr/>
      <w:tcPr>
        <w:tcBorders>
          <w:top w:val="nil"/>
          <w:left w:val="nil"/>
          <w:bottom w:val="single" w:sz="24" w:space="0" w:color="7AB800" w:themeColor="accent3"/>
          <w:right w:val="nil"/>
          <w:insideH w:val="nil"/>
          <w:insideV w:val="nil"/>
        </w:tcBorders>
        <w:shd w:val="clear" w:color="auto" w:fill="FFFFFF" w:themeFill="background1"/>
      </w:tcPr>
    </w:tblStylePr>
    <w:tblStylePr w:type="lastRow">
      <w:tblPr/>
      <w:tcPr>
        <w:tcBorders>
          <w:top w:val="single" w:sz="8" w:space="0" w:color="7AB8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B800" w:themeColor="accent3"/>
          <w:insideH w:val="nil"/>
          <w:insideV w:val="nil"/>
        </w:tcBorders>
        <w:shd w:val="clear" w:color="auto" w:fill="FFFFFF" w:themeFill="background1"/>
      </w:tcPr>
    </w:tblStylePr>
    <w:tblStylePr w:type="lastCol">
      <w:tblPr/>
      <w:tcPr>
        <w:tcBorders>
          <w:top w:val="nil"/>
          <w:left w:val="single" w:sz="8" w:space="0" w:color="7AB8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FAE" w:themeFill="accent3" w:themeFillTint="3F"/>
      </w:tcPr>
    </w:tblStylePr>
    <w:tblStylePr w:type="band1Horz">
      <w:tblPr/>
      <w:tcPr>
        <w:tcBorders>
          <w:top w:val="nil"/>
          <w:bottom w:val="nil"/>
          <w:insideH w:val="nil"/>
          <w:insideV w:val="nil"/>
        </w:tcBorders>
        <w:shd w:val="clear" w:color="auto" w:fill="E3FFA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locked/>
    <w:rsid w:val="00F80750"/>
    <w:pPr>
      <w:spacing w:after="0"/>
    </w:pPr>
    <w:rPr>
      <w:rFonts w:asciiTheme="majorHAnsi" w:eastAsiaTheme="majorEastAsia" w:hAnsiTheme="majorHAnsi" w:cstheme="majorBidi"/>
    </w:rPr>
    <w:tblPr>
      <w:tblStyleRowBandSize w:val="1"/>
      <w:tblStyleColBandSize w:val="1"/>
      <w:tblBorders>
        <w:top w:val="single" w:sz="8" w:space="0" w:color="00ADD0" w:themeColor="accent4"/>
        <w:left w:val="single" w:sz="8" w:space="0" w:color="00ADD0" w:themeColor="accent4"/>
        <w:bottom w:val="single" w:sz="8" w:space="0" w:color="00ADD0" w:themeColor="accent4"/>
        <w:right w:val="single" w:sz="8" w:space="0" w:color="00ADD0" w:themeColor="accent4"/>
      </w:tblBorders>
    </w:tblPr>
    <w:tblStylePr w:type="firstRow">
      <w:rPr>
        <w:sz w:val="24"/>
        <w:szCs w:val="24"/>
      </w:rPr>
      <w:tblPr/>
      <w:tcPr>
        <w:tcBorders>
          <w:top w:val="nil"/>
          <w:left w:val="nil"/>
          <w:bottom w:val="single" w:sz="24" w:space="0" w:color="00ADD0" w:themeColor="accent4"/>
          <w:right w:val="nil"/>
          <w:insideH w:val="nil"/>
          <w:insideV w:val="nil"/>
        </w:tcBorders>
        <w:shd w:val="clear" w:color="auto" w:fill="FFFFFF" w:themeFill="background1"/>
      </w:tcPr>
    </w:tblStylePr>
    <w:tblStylePr w:type="lastRow">
      <w:tblPr/>
      <w:tcPr>
        <w:tcBorders>
          <w:top w:val="single" w:sz="8" w:space="0" w:color="00ADD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DD0" w:themeColor="accent4"/>
          <w:insideH w:val="nil"/>
          <w:insideV w:val="nil"/>
        </w:tcBorders>
        <w:shd w:val="clear" w:color="auto" w:fill="FFFFFF" w:themeFill="background1"/>
      </w:tcPr>
    </w:tblStylePr>
    <w:tblStylePr w:type="lastCol">
      <w:tblPr/>
      <w:tcPr>
        <w:tcBorders>
          <w:top w:val="nil"/>
          <w:left w:val="single" w:sz="8" w:space="0" w:color="00ADD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4F2FF" w:themeFill="accent4" w:themeFillTint="3F"/>
      </w:tcPr>
    </w:tblStylePr>
    <w:tblStylePr w:type="band1Horz">
      <w:tblPr/>
      <w:tcPr>
        <w:tcBorders>
          <w:top w:val="nil"/>
          <w:bottom w:val="nil"/>
          <w:insideH w:val="nil"/>
          <w:insideV w:val="nil"/>
        </w:tcBorders>
        <w:shd w:val="clear" w:color="auto" w:fill="B4F2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locked/>
    <w:rsid w:val="00F80750"/>
    <w:pPr>
      <w:spacing w:after="0"/>
    </w:pPr>
    <w:rPr>
      <w:rFonts w:asciiTheme="majorHAnsi" w:eastAsiaTheme="majorEastAsia" w:hAnsiTheme="majorHAnsi" w:cstheme="majorBidi"/>
    </w:rPr>
    <w:tblPr>
      <w:tblStyleRowBandSize w:val="1"/>
      <w:tblStyleColBandSize w:val="1"/>
      <w:tblBorders>
        <w:top w:val="single" w:sz="8" w:space="0" w:color="DCDEDE" w:themeColor="accent5"/>
        <w:left w:val="single" w:sz="8" w:space="0" w:color="DCDEDE" w:themeColor="accent5"/>
        <w:bottom w:val="single" w:sz="8" w:space="0" w:color="DCDEDE" w:themeColor="accent5"/>
        <w:right w:val="single" w:sz="8" w:space="0" w:color="DCDEDE" w:themeColor="accent5"/>
      </w:tblBorders>
    </w:tblPr>
    <w:tblStylePr w:type="firstRow">
      <w:rPr>
        <w:sz w:val="24"/>
        <w:szCs w:val="24"/>
      </w:rPr>
      <w:tblPr/>
      <w:tcPr>
        <w:tcBorders>
          <w:top w:val="nil"/>
          <w:left w:val="nil"/>
          <w:bottom w:val="single" w:sz="24" w:space="0" w:color="DCDEDE" w:themeColor="accent5"/>
          <w:right w:val="nil"/>
          <w:insideH w:val="nil"/>
          <w:insideV w:val="nil"/>
        </w:tcBorders>
        <w:shd w:val="clear" w:color="auto" w:fill="FFFFFF" w:themeFill="background1"/>
      </w:tcPr>
    </w:tblStylePr>
    <w:tblStylePr w:type="lastRow">
      <w:tblPr/>
      <w:tcPr>
        <w:tcBorders>
          <w:top w:val="single" w:sz="8" w:space="0" w:color="DCDEDE"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CDEDE" w:themeColor="accent5"/>
          <w:insideH w:val="nil"/>
          <w:insideV w:val="nil"/>
        </w:tcBorders>
        <w:shd w:val="clear" w:color="auto" w:fill="FFFFFF" w:themeFill="background1"/>
      </w:tcPr>
    </w:tblStylePr>
    <w:tblStylePr w:type="lastCol">
      <w:tblPr/>
      <w:tcPr>
        <w:tcBorders>
          <w:top w:val="nil"/>
          <w:left w:val="single" w:sz="8" w:space="0" w:color="DCDED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6F6" w:themeFill="accent5" w:themeFillTint="3F"/>
      </w:tcPr>
    </w:tblStylePr>
    <w:tblStylePr w:type="band1Horz">
      <w:tblPr/>
      <w:tcPr>
        <w:tcBorders>
          <w:top w:val="nil"/>
          <w:bottom w:val="nil"/>
          <w:insideH w:val="nil"/>
          <w:insideV w:val="nil"/>
        </w:tcBorders>
        <w:shd w:val="clear" w:color="auto" w:fill="F6F6F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locked/>
    <w:rsid w:val="00F80750"/>
    <w:pPr>
      <w:spacing w:after="0"/>
    </w:pPr>
    <w:rPr>
      <w:rFonts w:asciiTheme="majorHAnsi" w:eastAsiaTheme="majorEastAsia" w:hAnsiTheme="majorHAnsi" w:cstheme="majorBidi"/>
    </w:rPr>
    <w:tblPr>
      <w:tblStyleRowBandSize w:val="1"/>
      <w:tblStyleColBandSize w:val="1"/>
      <w:tblBorders>
        <w:top w:val="single" w:sz="8" w:space="0" w:color="00819C" w:themeColor="accent6"/>
        <w:left w:val="single" w:sz="8" w:space="0" w:color="00819C" w:themeColor="accent6"/>
        <w:bottom w:val="single" w:sz="8" w:space="0" w:color="00819C" w:themeColor="accent6"/>
        <w:right w:val="single" w:sz="8" w:space="0" w:color="00819C" w:themeColor="accent6"/>
      </w:tblBorders>
    </w:tblPr>
    <w:tblStylePr w:type="firstRow">
      <w:rPr>
        <w:sz w:val="24"/>
        <w:szCs w:val="24"/>
      </w:rPr>
      <w:tblPr/>
      <w:tcPr>
        <w:tcBorders>
          <w:top w:val="nil"/>
          <w:left w:val="nil"/>
          <w:bottom w:val="single" w:sz="24" w:space="0" w:color="00819C" w:themeColor="accent6"/>
          <w:right w:val="nil"/>
          <w:insideH w:val="nil"/>
          <w:insideV w:val="nil"/>
        </w:tcBorders>
        <w:shd w:val="clear" w:color="auto" w:fill="FFFFFF" w:themeFill="background1"/>
      </w:tcPr>
    </w:tblStylePr>
    <w:tblStylePr w:type="lastRow">
      <w:tblPr/>
      <w:tcPr>
        <w:tcBorders>
          <w:top w:val="single" w:sz="8" w:space="0" w:color="00819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19C" w:themeColor="accent6"/>
          <w:insideH w:val="nil"/>
          <w:insideV w:val="nil"/>
        </w:tcBorders>
        <w:shd w:val="clear" w:color="auto" w:fill="FFFFFF" w:themeFill="background1"/>
      </w:tcPr>
    </w:tblStylePr>
    <w:tblStylePr w:type="lastCol">
      <w:tblPr/>
      <w:tcPr>
        <w:tcBorders>
          <w:top w:val="nil"/>
          <w:left w:val="single" w:sz="8" w:space="0" w:color="00819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EFFF" w:themeFill="accent6" w:themeFillTint="3F"/>
      </w:tcPr>
    </w:tblStylePr>
    <w:tblStylePr w:type="band1Horz">
      <w:tblPr/>
      <w:tcPr>
        <w:tcBorders>
          <w:top w:val="nil"/>
          <w:bottom w:val="nil"/>
          <w:insideH w:val="nil"/>
          <w:insideV w:val="nil"/>
        </w:tcBorders>
        <w:shd w:val="clear" w:color="auto" w:fill="A7E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locked/>
    <w:rsid w:val="00F80750"/>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locked/>
    <w:rsid w:val="00F80750"/>
    <w:pPr>
      <w:spacing w:after="0"/>
    </w:pPr>
    <w:tblPr>
      <w:tblStyleRowBandSize w:val="1"/>
      <w:tblStyleColBandSize w:val="1"/>
      <w:tblBorders>
        <w:top w:val="single" w:sz="8" w:space="0" w:color="FF8A52" w:themeColor="accent1" w:themeTint="BF"/>
        <w:left w:val="single" w:sz="8" w:space="0" w:color="FF8A52" w:themeColor="accent1" w:themeTint="BF"/>
        <w:bottom w:val="single" w:sz="8" w:space="0" w:color="FF8A52" w:themeColor="accent1" w:themeTint="BF"/>
        <w:right w:val="single" w:sz="8" w:space="0" w:color="FF8A52" w:themeColor="accent1" w:themeTint="BF"/>
        <w:insideH w:val="single" w:sz="8" w:space="0" w:color="FF8A52" w:themeColor="accent1" w:themeTint="BF"/>
      </w:tblBorders>
    </w:tblPr>
    <w:tblStylePr w:type="firstRow">
      <w:pPr>
        <w:spacing w:before="0" w:after="0" w:line="240" w:lineRule="auto"/>
      </w:pPr>
      <w:rPr>
        <w:b/>
        <w:bCs/>
        <w:color w:val="FFFFFF" w:themeColor="background1"/>
      </w:rPr>
      <w:tblPr/>
      <w:tcPr>
        <w:tcBorders>
          <w:top w:val="single" w:sz="8" w:space="0" w:color="FF8A52" w:themeColor="accent1" w:themeTint="BF"/>
          <w:left w:val="single" w:sz="8" w:space="0" w:color="FF8A52" w:themeColor="accent1" w:themeTint="BF"/>
          <w:bottom w:val="single" w:sz="8" w:space="0" w:color="FF8A52" w:themeColor="accent1" w:themeTint="BF"/>
          <w:right w:val="single" w:sz="8" w:space="0" w:color="FF8A52" w:themeColor="accent1" w:themeTint="BF"/>
          <w:insideH w:val="nil"/>
          <w:insideV w:val="nil"/>
        </w:tcBorders>
        <w:shd w:val="clear" w:color="auto" w:fill="FF6319" w:themeFill="accent1"/>
      </w:tcPr>
    </w:tblStylePr>
    <w:tblStylePr w:type="lastRow">
      <w:pPr>
        <w:spacing w:before="0" w:after="0" w:line="240" w:lineRule="auto"/>
      </w:pPr>
      <w:rPr>
        <w:b/>
        <w:bCs/>
      </w:rPr>
      <w:tblPr/>
      <w:tcPr>
        <w:tcBorders>
          <w:top w:val="double" w:sz="6" w:space="0" w:color="FF8A52" w:themeColor="accent1" w:themeTint="BF"/>
          <w:left w:val="single" w:sz="8" w:space="0" w:color="FF8A52" w:themeColor="accent1" w:themeTint="BF"/>
          <w:bottom w:val="single" w:sz="8" w:space="0" w:color="FF8A52" w:themeColor="accent1" w:themeTint="BF"/>
          <w:right w:val="single" w:sz="8" w:space="0" w:color="FF8A5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D8C6" w:themeFill="accent1" w:themeFillTint="3F"/>
      </w:tcPr>
    </w:tblStylePr>
    <w:tblStylePr w:type="band1Horz">
      <w:tblPr/>
      <w:tcPr>
        <w:tcBorders>
          <w:insideH w:val="nil"/>
          <w:insideV w:val="nil"/>
        </w:tcBorders>
        <w:shd w:val="clear" w:color="auto" w:fill="FFD8C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locked/>
    <w:rsid w:val="00F80750"/>
    <w:pPr>
      <w:spacing w:after="0"/>
    </w:pPr>
    <w:tblPr>
      <w:tblStyleRowBandSize w:val="1"/>
      <w:tblStyleColBandSize w:val="1"/>
      <w:tblBorders>
        <w:top w:val="single" w:sz="8" w:space="0" w:color="7E8386" w:themeColor="accent2" w:themeTint="BF"/>
        <w:left w:val="single" w:sz="8" w:space="0" w:color="7E8386" w:themeColor="accent2" w:themeTint="BF"/>
        <w:bottom w:val="single" w:sz="8" w:space="0" w:color="7E8386" w:themeColor="accent2" w:themeTint="BF"/>
        <w:right w:val="single" w:sz="8" w:space="0" w:color="7E8386" w:themeColor="accent2" w:themeTint="BF"/>
        <w:insideH w:val="single" w:sz="8" w:space="0" w:color="7E8386" w:themeColor="accent2" w:themeTint="BF"/>
      </w:tblBorders>
    </w:tblPr>
    <w:tblStylePr w:type="firstRow">
      <w:pPr>
        <w:spacing w:before="0" w:after="0" w:line="240" w:lineRule="auto"/>
      </w:pPr>
      <w:rPr>
        <w:b/>
        <w:bCs/>
        <w:color w:val="FFFFFF" w:themeColor="background1"/>
      </w:rPr>
      <w:tblPr/>
      <w:tcPr>
        <w:tcBorders>
          <w:top w:val="single" w:sz="8" w:space="0" w:color="7E8386" w:themeColor="accent2" w:themeTint="BF"/>
          <w:left w:val="single" w:sz="8" w:space="0" w:color="7E8386" w:themeColor="accent2" w:themeTint="BF"/>
          <w:bottom w:val="single" w:sz="8" w:space="0" w:color="7E8386" w:themeColor="accent2" w:themeTint="BF"/>
          <w:right w:val="single" w:sz="8" w:space="0" w:color="7E8386" w:themeColor="accent2" w:themeTint="BF"/>
          <w:insideH w:val="nil"/>
          <w:insideV w:val="nil"/>
        </w:tcBorders>
        <w:shd w:val="clear" w:color="auto" w:fill="565A5C" w:themeFill="accent2"/>
      </w:tcPr>
    </w:tblStylePr>
    <w:tblStylePr w:type="lastRow">
      <w:pPr>
        <w:spacing w:before="0" w:after="0" w:line="240" w:lineRule="auto"/>
      </w:pPr>
      <w:rPr>
        <w:b/>
        <w:bCs/>
      </w:rPr>
      <w:tblPr/>
      <w:tcPr>
        <w:tcBorders>
          <w:top w:val="double" w:sz="6" w:space="0" w:color="7E8386" w:themeColor="accent2" w:themeTint="BF"/>
          <w:left w:val="single" w:sz="8" w:space="0" w:color="7E8386" w:themeColor="accent2" w:themeTint="BF"/>
          <w:bottom w:val="single" w:sz="8" w:space="0" w:color="7E8386" w:themeColor="accent2" w:themeTint="BF"/>
          <w:right w:val="single" w:sz="8" w:space="0" w:color="7E8386" w:themeColor="accent2" w:themeTint="BF"/>
          <w:insideH w:val="nil"/>
          <w:insideV w:val="nil"/>
        </w:tcBorders>
      </w:tcPr>
    </w:tblStylePr>
    <w:tblStylePr w:type="firstCol">
      <w:rPr>
        <w:b/>
        <w:bCs/>
      </w:rPr>
    </w:tblStylePr>
    <w:tblStylePr w:type="lastCol">
      <w:rPr>
        <w:b/>
        <w:bCs/>
      </w:rPr>
    </w:tblStylePr>
    <w:tblStylePr w:type="band1Vert">
      <w:tblPr/>
      <w:tcPr>
        <w:shd w:val="clear" w:color="auto" w:fill="D4D6D7" w:themeFill="accent2" w:themeFillTint="3F"/>
      </w:tcPr>
    </w:tblStylePr>
    <w:tblStylePr w:type="band1Horz">
      <w:tblPr/>
      <w:tcPr>
        <w:tcBorders>
          <w:insideH w:val="nil"/>
          <w:insideV w:val="nil"/>
        </w:tcBorders>
        <w:shd w:val="clear" w:color="auto" w:fill="D4D6D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locked/>
    <w:rsid w:val="00F80750"/>
    <w:pPr>
      <w:spacing w:after="0"/>
    </w:pPr>
    <w:tblPr>
      <w:tblStyleRowBandSize w:val="1"/>
      <w:tblStyleColBandSize w:val="1"/>
      <w:tblBorders>
        <w:top w:val="single" w:sz="8" w:space="0" w:color="ACFF0A" w:themeColor="accent3" w:themeTint="BF"/>
        <w:left w:val="single" w:sz="8" w:space="0" w:color="ACFF0A" w:themeColor="accent3" w:themeTint="BF"/>
        <w:bottom w:val="single" w:sz="8" w:space="0" w:color="ACFF0A" w:themeColor="accent3" w:themeTint="BF"/>
        <w:right w:val="single" w:sz="8" w:space="0" w:color="ACFF0A" w:themeColor="accent3" w:themeTint="BF"/>
        <w:insideH w:val="single" w:sz="8" w:space="0" w:color="ACFF0A" w:themeColor="accent3" w:themeTint="BF"/>
      </w:tblBorders>
    </w:tblPr>
    <w:tblStylePr w:type="firstRow">
      <w:pPr>
        <w:spacing w:before="0" w:after="0" w:line="240" w:lineRule="auto"/>
      </w:pPr>
      <w:rPr>
        <w:b/>
        <w:bCs/>
        <w:color w:val="FFFFFF" w:themeColor="background1"/>
      </w:rPr>
      <w:tblPr/>
      <w:tcPr>
        <w:tcBorders>
          <w:top w:val="single" w:sz="8" w:space="0" w:color="ACFF0A" w:themeColor="accent3" w:themeTint="BF"/>
          <w:left w:val="single" w:sz="8" w:space="0" w:color="ACFF0A" w:themeColor="accent3" w:themeTint="BF"/>
          <w:bottom w:val="single" w:sz="8" w:space="0" w:color="ACFF0A" w:themeColor="accent3" w:themeTint="BF"/>
          <w:right w:val="single" w:sz="8" w:space="0" w:color="ACFF0A" w:themeColor="accent3" w:themeTint="BF"/>
          <w:insideH w:val="nil"/>
          <w:insideV w:val="nil"/>
        </w:tcBorders>
        <w:shd w:val="clear" w:color="auto" w:fill="7AB800" w:themeFill="accent3"/>
      </w:tcPr>
    </w:tblStylePr>
    <w:tblStylePr w:type="lastRow">
      <w:pPr>
        <w:spacing w:before="0" w:after="0" w:line="240" w:lineRule="auto"/>
      </w:pPr>
      <w:rPr>
        <w:b/>
        <w:bCs/>
      </w:rPr>
      <w:tblPr/>
      <w:tcPr>
        <w:tcBorders>
          <w:top w:val="double" w:sz="6" w:space="0" w:color="ACFF0A" w:themeColor="accent3" w:themeTint="BF"/>
          <w:left w:val="single" w:sz="8" w:space="0" w:color="ACFF0A" w:themeColor="accent3" w:themeTint="BF"/>
          <w:bottom w:val="single" w:sz="8" w:space="0" w:color="ACFF0A" w:themeColor="accent3" w:themeTint="BF"/>
          <w:right w:val="single" w:sz="8" w:space="0" w:color="ACFF0A" w:themeColor="accent3" w:themeTint="BF"/>
          <w:insideH w:val="nil"/>
          <w:insideV w:val="nil"/>
        </w:tcBorders>
      </w:tcPr>
    </w:tblStylePr>
    <w:tblStylePr w:type="firstCol">
      <w:rPr>
        <w:b/>
        <w:bCs/>
      </w:rPr>
    </w:tblStylePr>
    <w:tblStylePr w:type="lastCol">
      <w:rPr>
        <w:b/>
        <w:bCs/>
      </w:rPr>
    </w:tblStylePr>
    <w:tblStylePr w:type="band1Vert">
      <w:tblPr/>
      <w:tcPr>
        <w:shd w:val="clear" w:color="auto" w:fill="E3FFAE" w:themeFill="accent3" w:themeFillTint="3F"/>
      </w:tcPr>
    </w:tblStylePr>
    <w:tblStylePr w:type="band1Horz">
      <w:tblPr/>
      <w:tcPr>
        <w:tcBorders>
          <w:insideH w:val="nil"/>
          <w:insideV w:val="nil"/>
        </w:tcBorders>
        <w:shd w:val="clear" w:color="auto" w:fill="E3FFAE"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locked/>
    <w:rsid w:val="00F80750"/>
    <w:pPr>
      <w:spacing w:after="0"/>
    </w:pPr>
    <w:tblPr>
      <w:tblStyleRowBandSize w:val="1"/>
      <w:tblStyleColBandSize w:val="1"/>
      <w:tblBorders>
        <w:top w:val="single" w:sz="8" w:space="0" w:color="1CD8FF" w:themeColor="accent4" w:themeTint="BF"/>
        <w:left w:val="single" w:sz="8" w:space="0" w:color="1CD8FF" w:themeColor="accent4" w:themeTint="BF"/>
        <w:bottom w:val="single" w:sz="8" w:space="0" w:color="1CD8FF" w:themeColor="accent4" w:themeTint="BF"/>
        <w:right w:val="single" w:sz="8" w:space="0" w:color="1CD8FF" w:themeColor="accent4" w:themeTint="BF"/>
        <w:insideH w:val="single" w:sz="8" w:space="0" w:color="1CD8FF" w:themeColor="accent4" w:themeTint="BF"/>
      </w:tblBorders>
    </w:tblPr>
    <w:tblStylePr w:type="firstRow">
      <w:pPr>
        <w:spacing w:before="0" w:after="0" w:line="240" w:lineRule="auto"/>
      </w:pPr>
      <w:rPr>
        <w:b/>
        <w:bCs/>
        <w:color w:val="FFFFFF" w:themeColor="background1"/>
      </w:rPr>
      <w:tblPr/>
      <w:tcPr>
        <w:tcBorders>
          <w:top w:val="single" w:sz="8" w:space="0" w:color="1CD8FF" w:themeColor="accent4" w:themeTint="BF"/>
          <w:left w:val="single" w:sz="8" w:space="0" w:color="1CD8FF" w:themeColor="accent4" w:themeTint="BF"/>
          <w:bottom w:val="single" w:sz="8" w:space="0" w:color="1CD8FF" w:themeColor="accent4" w:themeTint="BF"/>
          <w:right w:val="single" w:sz="8" w:space="0" w:color="1CD8FF" w:themeColor="accent4" w:themeTint="BF"/>
          <w:insideH w:val="nil"/>
          <w:insideV w:val="nil"/>
        </w:tcBorders>
        <w:shd w:val="clear" w:color="auto" w:fill="00ADD0" w:themeFill="accent4"/>
      </w:tcPr>
    </w:tblStylePr>
    <w:tblStylePr w:type="lastRow">
      <w:pPr>
        <w:spacing w:before="0" w:after="0" w:line="240" w:lineRule="auto"/>
      </w:pPr>
      <w:rPr>
        <w:b/>
        <w:bCs/>
      </w:rPr>
      <w:tblPr/>
      <w:tcPr>
        <w:tcBorders>
          <w:top w:val="double" w:sz="6" w:space="0" w:color="1CD8FF" w:themeColor="accent4" w:themeTint="BF"/>
          <w:left w:val="single" w:sz="8" w:space="0" w:color="1CD8FF" w:themeColor="accent4" w:themeTint="BF"/>
          <w:bottom w:val="single" w:sz="8" w:space="0" w:color="1CD8FF" w:themeColor="accent4" w:themeTint="BF"/>
          <w:right w:val="single" w:sz="8" w:space="0" w:color="1CD8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B4F2FF" w:themeFill="accent4" w:themeFillTint="3F"/>
      </w:tcPr>
    </w:tblStylePr>
    <w:tblStylePr w:type="band1Horz">
      <w:tblPr/>
      <w:tcPr>
        <w:tcBorders>
          <w:insideH w:val="nil"/>
          <w:insideV w:val="nil"/>
        </w:tcBorders>
        <w:shd w:val="clear" w:color="auto" w:fill="B4F2F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locked/>
    <w:rsid w:val="00F80750"/>
    <w:pPr>
      <w:spacing w:after="0"/>
    </w:pPr>
    <w:tblPr>
      <w:tblStyleRowBandSize w:val="1"/>
      <w:tblStyleColBandSize w:val="1"/>
      <w:tblBorders>
        <w:top w:val="single" w:sz="8" w:space="0" w:color="E4E6E6" w:themeColor="accent5" w:themeTint="BF"/>
        <w:left w:val="single" w:sz="8" w:space="0" w:color="E4E6E6" w:themeColor="accent5" w:themeTint="BF"/>
        <w:bottom w:val="single" w:sz="8" w:space="0" w:color="E4E6E6" w:themeColor="accent5" w:themeTint="BF"/>
        <w:right w:val="single" w:sz="8" w:space="0" w:color="E4E6E6" w:themeColor="accent5" w:themeTint="BF"/>
        <w:insideH w:val="single" w:sz="8" w:space="0" w:color="E4E6E6" w:themeColor="accent5" w:themeTint="BF"/>
      </w:tblBorders>
    </w:tblPr>
    <w:tblStylePr w:type="firstRow">
      <w:pPr>
        <w:spacing w:before="0" w:after="0" w:line="240" w:lineRule="auto"/>
      </w:pPr>
      <w:rPr>
        <w:b/>
        <w:bCs/>
        <w:color w:val="FFFFFF" w:themeColor="background1"/>
      </w:rPr>
      <w:tblPr/>
      <w:tcPr>
        <w:tcBorders>
          <w:top w:val="single" w:sz="8" w:space="0" w:color="E4E6E6" w:themeColor="accent5" w:themeTint="BF"/>
          <w:left w:val="single" w:sz="8" w:space="0" w:color="E4E6E6" w:themeColor="accent5" w:themeTint="BF"/>
          <w:bottom w:val="single" w:sz="8" w:space="0" w:color="E4E6E6" w:themeColor="accent5" w:themeTint="BF"/>
          <w:right w:val="single" w:sz="8" w:space="0" w:color="E4E6E6" w:themeColor="accent5" w:themeTint="BF"/>
          <w:insideH w:val="nil"/>
          <w:insideV w:val="nil"/>
        </w:tcBorders>
        <w:shd w:val="clear" w:color="auto" w:fill="DCDEDE" w:themeFill="accent5"/>
      </w:tcPr>
    </w:tblStylePr>
    <w:tblStylePr w:type="lastRow">
      <w:pPr>
        <w:spacing w:before="0" w:after="0" w:line="240" w:lineRule="auto"/>
      </w:pPr>
      <w:rPr>
        <w:b/>
        <w:bCs/>
      </w:rPr>
      <w:tblPr/>
      <w:tcPr>
        <w:tcBorders>
          <w:top w:val="double" w:sz="6" w:space="0" w:color="E4E6E6" w:themeColor="accent5" w:themeTint="BF"/>
          <w:left w:val="single" w:sz="8" w:space="0" w:color="E4E6E6" w:themeColor="accent5" w:themeTint="BF"/>
          <w:bottom w:val="single" w:sz="8" w:space="0" w:color="E4E6E6" w:themeColor="accent5" w:themeTint="BF"/>
          <w:right w:val="single" w:sz="8" w:space="0" w:color="E4E6E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6F6F6" w:themeFill="accent5" w:themeFillTint="3F"/>
      </w:tcPr>
    </w:tblStylePr>
    <w:tblStylePr w:type="band1Horz">
      <w:tblPr/>
      <w:tcPr>
        <w:tcBorders>
          <w:insideH w:val="nil"/>
          <w:insideV w:val="nil"/>
        </w:tcBorders>
        <w:shd w:val="clear" w:color="auto" w:fill="F6F6F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locked/>
    <w:rsid w:val="00F80750"/>
    <w:pPr>
      <w:spacing w:after="0"/>
    </w:pPr>
    <w:tblPr>
      <w:tblStyleRowBandSize w:val="1"/>
      <w:tblStyleColBandSize w:val="1"/>
      <w:tblBorders>
        <w:top w:val="single" w:sz="8" w:space="0" w:color="00C9F4" w:themeColor="accent6" w:themeTint="BF"/>
        <w:left w:val="single" w:sz="8" w:space="0" w:color="00C9F4" w:themeColor="accent6" w:themeTint="BF"/>
        <w:bottom w:val="single" w:sz="8" w:space="0" w:color="00C9F4" w:themeColor="accent6" w:themeTint="BF"/>
        <w:right w:val="single" w:sz="8" w:space="0" w:color="00C9F4" w:themeColor="accent6" w:themeTint="BF"/>
        <w:insideH w:val="single" w:sz="8" w:space="0" w:color="00C9F4" w:themeColor="accent6" w:themeTint="BF"/>
      </w:tblBorders>
    </w:tblPr>
    <w:tblStylePr w:type="firstRow">
      <w:pPr>
        <w:spacing w:before="0" w:after="0" w:line="240" w:lineRule="auto"/>
      </w:pPr>
      <w:rPr>
        <w:b/>
        <w:bCs/>
        <w:color w:val="FFFFFF" w:themeColor="background1"/>
      </w:rPr>
      <w:tblPr/>
      <w:tcPr>
        <w:tcBorders>
          <w:top w:val="single" w:sz="8" w:space="0" w:color="00C9F4" w:themeColor="accent6" w:themeTint="BF"/>
          <w:left w:val="single" w:sz="8" w:space="0" w:color="00C9F4" w:themeColor="accent6" w:themeTint="BF"/>
          <w:bottom w:val="single" w:sz="8" w:space="0" w:color="00C9F4" w:themeColor="accent6" w:themeTint="BF"/>
          <w:right w:val="single" w:sz="8" w:space="0" w:color="00C9F4" w:themeColor="accent6" w:themeTint="BF"/>
          <w:insideH w:val="nil"/>
          <w:insideV w:val="nil"/>
        </w:tcBorders>
        <w:shd w:val="clear" w:color="auto" w:fill="00819C" w:themeFill="accent6"/>
      </w:tcPr>
    </w:tblStylePr>
    <w:tblStylePr w:type="lastRow">
      <w:pPr>
        <w:spacing w:before="0" w:after="0" w:line="240" w:lineRule="auto"/>
      </w:pPr>
      <w:rPr>
        <w:b/>
        <w:bCs/>
      </w:rPr>
      <w:tblPr/>
      <w:tcPr>
        <w:tcBorders>
          <w:top w:val="double" w:sz="6" w:space="0" w:color="00C9F4" w:themeColor="accent6" w:themeTint="BF"/>
          <w:left w:val="single" w:sz="8" w:space="0" w:color="00C9F4" w:themeColor="accent6" w:themeTint="BF"/>
          <w:bottom w:val="single" w:sz="8" w:space="0" w:color="00C9F4" w:themeColor="accent6" w:themeTint="BF"/>
          <w:right w:val="single" w:sz="8" w:space="0" w:color="00C9F4" w:themeColor="accent6" w:themeTint="BF"/>
          <w:insideH w:val="nil"/>
          <w:insideV w:val="nil"/>
        </w:tcBorders>
      </w:tcPr>
    </w:tblStylePr>
    <w:tblStylePr w:type="firstCol">
      <w:rPr>
        <w:b/>
        <w:bCs/>
      </w:rPr>
    </w:tblStylePr>
    <w:tblStylePr w:type="lastCol">
      <w:rPr>
        <w:b/>
        <w:bCs/>
      </w:rPr>
    </w:tblStylePr>
    <w:tblStylePr w:type="band1Vert">
      <w:tblPr/>
      <w:tcPr>
        <w:shd w:val="clear" w:color="auto" w:fill="A7EFFF" w:themeFill="accent6" w:themeFillTint="3F"/>
      </w:tcPr>
    </w:tblStylePr>
    <w:tblStylePr w:type="band1Horz">
      <w:tblPr/>
      <w:tcPr>
        <w:tcBorders>
          <w:insideH w:val="nil"/>
          <w:insideV w:val="nil"/>
        </w:tcBorders>
        <w:shd w:val="clear" w:color="auto" w:fill="A7E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locked/>
    <w:rsid w:val="00F80750"/>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locked/>
    <w:rsid w:val="00F80750"/>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631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6319" w:themeFill="accent1"/>
      </w:tcPr>
    </w:tblStylePr>
    <w:tblStylePr w:type="lastCol">
      <w:rPr>
        <w:b/>
        <w:bCs/>
        <w:color w:val="FFFFFF" w:themeColor="background1"/>
      </w:rPr>
      <w:tblPr/>
      <w:tcPr>
        <w:tcBorders>
          <w:left w:val="nil"/>
          <w:right w:val="nil"/>
          <w:insideH w:val="nil"/>
          <w:insideV w:val="nil"/>
        </w:tcBorders>
        <w:shd w:val="clear" w:color="auto" w:fill="FF631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locked/>
    <w:rsid w:val="00F80750"/>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65A5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65A5C" w:themeFill="accent2"/>
      </w:tcPr>
    </w:tblStylePr>
    <w:tblStylePr w:type="lastCol">
      <w:rPr>
        <w:b/>
        <w:bCs/>
        <w:color w:val="FFFFFF" w:themeColor="background1"/>
      </w:rPr>
      <w:tblPr/>
      <w:tcPr>
        <w:tcBorders>
          <w:left w:val="nil"/>
          <w:right w:val="nil"/>
          <w:insideH w:val="nil"/>
          <w:insideV w:val="nil"/>
        </w:tcBorders>
        <w:shd w:val="clear" w:color="auto" w:fill="565A5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locked/>
    <w:rsid w:val="00F80750"/>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B8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B800" w:themeFill="accent3"/>
      </w:tcPr>
    </w:tblStylePr>
    <w:tblStylePr w:type="lastCol">
      <w:rPr>
        <w:b/>
        <w:bCs/>
        <w:color w:val="FFFFFF" w:themeColor="background1"/>
      </w:rPr>
      <w:tblPr/>
      <w:tcPr>
        <w:tcBorders>
          <w:left w:val="nil"/>
          <w:right w:val="nil"/>
          <w:insideH w:val="nil"/>
          <w:insideV w:val="nil"/>
        </w:tcBorders>
        <w:shd w:val="clear" w:color="auto" w:fill="7AB8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locked/>
    <w:rsid w:val="00F80750"/>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DD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DD0" w:themeFill="accent4"/>
      </w:tcPr>
    </w:tblStylePr>
    <w:tblStylePr w:type="lastCol">
      <w:rPr>
        <w:b/>
        <w:bCs/>
        <w:color w:val="FFFFFF" w:themeColor="background1"/>
      </w:rPr>
      <w:tblPr/>
      <w:tcPr>
        <w:tcBorders>
          <w:left w:val="nil"/>
          <w:right w:val="nil"/>
          <w:insideH w:val="nil"/>
          <w:insideV w:val="nil"/>
        </w:tcBorders>
        <w:shd w:val="clear" w:color="auto" w:fill="00ADD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locked/>
    <w:rsid w:val="00F80750"/>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CDED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CDEDE" w:themeFill="accent5"/>
      </w:tcPr>
    </w:tblStylePr>
    <w:tblStylePr w:type="lastCol">
      <w:rPr>
        <w:b/>
        <w:bCs/>
        <w:color w:val="FFFFFF" w:themeColor="background1"/>
      </w:rPr>
      <w:tblPr/>
      <w:tcPr>
        <w:tcBorders>
          <w:left w:val="nil"/>
          <w:right w:val="nil"/>
          <w:insideH w:val="nil"/>
          <w:insideV w:val="nil"/>
        </w:tcBorders>
        <w:shd w:val="clear" w:color="auto" w:fill="DCDED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locked/>
    <w:rsid w:val="00F80750"/>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19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19C" w:themeFill="accent6"/>
      </w:tcPr>
    </w:tblStylePr>
    <w:tblStylePr w:type="lastCol">
      <w:rPr>
        <w:b/>
        <w:bCs/>
        <w:color w:val="FFFFFF" w:themeColor="background1"/>
      </w:rPr>
      <w:tblPr/>
      <w:tcPr>
        <w:tcBorders>
          <w:left w:val="nil"/>
          <w:right w:val="nil"/>
          <w:insideH w:val="nil"/>
          <w:insideV w:val="nil"/>
        </w:tcBorders>
        <w:shd w:val="clear" w:color="auto" w:fill="00819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locked/>
    <w:rsid w:val="00F80750"/>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F80750"/>
    <w:rPr>
      <w:rFonts w:asciiTheme="majorHAnsi" w:eastAsiaTheme="majorEastAsia" w:hAnsiTheme="majorHAnsi" w:cstheme="majorBidi"/>
      <w:noProof w:val="0"/>
      <w:sz w:val="24"/>
      <w:szCs w:val="24"/>
      <w:shd w:val="pct20" w:color="auto" w:fill="auto"/>
      <w:lang w:val="en-AU"/>
    </w:rPr>
  </w:style>
  <w:style w:type="paragraph" w:styleId="NoSpacing">
    <w:name w:val="No Spacing"/>
    <w:aliases w:val="Content No Spacing"/>
    <w:uiPriority w:val="1"/>
    <w:qFormat/>
    <w:rsid w:val="00F80750"/>
    <w:pPr>
      <w:spacing w:after="0"/>
    </w:pPr>
  </w:style>
  <w:style w:type="paragraph" w:styleId="NormalWeb">
    <w:name w:val="Normal (Web)"/>
    <w:basedOn w:val="Normal"/>
    <w:uiPriority w:val="99"/>
    <w:semiHidden/>
    <w:unhideWhenUsed/>
    <w:rsid w:val="00F80750"/>
    <w:rPr>
      <w:rFonts w:ascii="Times New Roman" w:hAnsi="Times New Roman" w:cs="Times New Roman"/>
    </w:rPr>
  </w:style>
  <w:style w:type="paragraph" w:styleId="NormalIndent">
    <w:name w:val="Normal Indent"/>
    <w:basedOn w:val="Normal"/>
    <w:uiPriority w:val="99"/>
    <w:semiHidden/>
    <w:unhideWhenUsed/>
    <w:locked/>
    <w:rsid w:val="00F80750"/>
    <w:pPr>
      <w:ind w:left="720"/>
    </w:pPr>
  </w:style>
  <w:style w:type="paragraph" w:styleId="NoteHeading">
    <w:name w:val="Note Heading"/>
    <w:basedOn w:val="Normal"/>
    <w:next w:val="Normal"/>
    <w:link w:val="NoteHeadingChar"/>
    <w:uiPriority w:val="99"/>
    <w:semiHidden/>
    <w:unhideWhenUsed/>
    <w:locked/>
    <w:rsid w:val="00F80750"/>
    <w:pPr>
      <w:spacing w:after="0"/>
    </w:pPr>
  </w:style>
  <w:style w:type="character" w:customStyle="1" w:styleId="NoteHeadingChar">
    <w:name w:val="Note Heading Char"/>
    <w:basedOn w:val="DefaultParagraphFont"/>
    <w:link w:val="NoteHeading"/>
    <w:uiPriority w:val="99"/>
    <w:semiHidden/>
    <w:rsid w:val="00F80750"/>
    <w:rPr>
      <w:noProof w:val="0"/>
      <w:lang w:val="en-AU"/>
    </w:rPr>
  </w:style>
  <w:style w:type="character" w:styleId="PageNumber">
    <w:name w:val="page number"/>
    <w:basedOn w:val="DefaultParagraphFont"/>
    <w:uiPriority w:val="99"/>
    <w:semiHidden/>
    <w:unhideWhenUsed/>
    <w:locked/>
    <w:rsid w:val="00F80750"/>
    <w:rPr>
      <w:noProof w:val="0"/>
      <w:lang w:val="en-AU"/>
    </w:rPr>
  </w:style>
  <w:style w:type="paragraph" w:styleId="PlainText">
    <w:name w:val="Plain Text"/>
    <w:basedOn w:val="Normal"/>
    <w:link w:val="PlainTextChar"/>
    <w:uiPriority w:val="99"/>
    <w:semiHidden/>
    <w:unhideWhenUsed/>
    <w:locked/>
    <w:rsid w:val="00F80750"/>
    <w:pPr>
      <w:spacing w:after="0"/>
    </w:pPr>
    <w:rPr>
      <w:rFonts w:ascii="Consolas" w:hAnsi="Consolas"/>
      <w:sz w:val="21"/>
      <w:szCs w:val="21"/>
    </w:rPr>
  </w:style>
  <w:style w:type="character" w:customStyle="1" w:styleId="PlainTextChar">
    <w:name w:val="Plain Text Char"/>
    <w:basedOn w:val="DefaultParagraphFont"/>
    <w:link w:val="PlainText"/>
    <w:uiPriority w:val="99"/>
    <w:semiHidden/>
    <w:rsid w:val="00F80750"/>
    <w:rPr>
      <w:rFonts w:ascii="Consolas" w:hAnsi="Consolas"/>
      <w:noProof w:val="0"/>
      <w:sz w:val="21"/>
      <w:szCs w:val="21"/>
      <w:lang w:val="en-AU"/>
    </w:rPr>
  </w:style>
  <w:style w:type="paragraph" w:styleId="Quote">
    <w:name w:val="Quote"/>
    <w:basedOn w:val="Normal"/>
    <w:next w:val="Normal"/>
    <w:link w:val="QuoteChar"/>
    <w:uiPriority w:val="29"/>
    <w:qFormat/>
    <w:locked/>
    <w:rsid w:val="00F80750"/>
    <w:rPr>
      <w:i/>
      <w:iCs/>
    </w:rPr>
  </w:style>
  <w:style w:type="character" w:customStyle="1" w:styleId="QuoteChar">
    <w:name w:val="Quote Char"/>
    <w:basedOn w:val="DefaultParagraphFont"/>
    <w:link w:val="Quote"/>
    <w:uiPriority w:val="29"/>
    <w:rsid w:val="00F80750"/>
    <w:rPr>
      <w:i/>
      <w:iCs/>
      <w:noProof w:val="0"/>
      <w:color w:val="000000" w:themeColor="text1"/>
      <w:lang w:val="en-AU"/>
    </w:rPr>
  </w:style>
  <w:style w:type="paragraph" w:styleId="Salutation">
    <w:name w:val="Salutation"/>
    <w:basedOn w:val="Normal"/>
    <w:next w:val="Normal"/>
    <w:link w:val="SalutationChar"/>
    <w:uiPriority w:val="99"/>
    <w:semiHidden/>
    <w:unhideWhenUsed/>
    <w:locked/>
    <w:rsid w:val="00F80750"/>
  </w:style>
  <w:style w:type="character" w:customStyle="1" w:styleId="SalutationChar">
    <w:name w:val="Salutation Char"/>
    <w:basedOn w:val="DefaultParagraphFont"/>
    <w:link w:val="Salutation"/>
    <w:uiPriority w:val="99"/>
    <w:semiHidden/>
    <w:rsid w:val="00F80750"/>
    <w:rPr>
      <w:noProof w:val="0"/>
      <w:lang w:val="en-AU"/>
    </w:rPr>
  </w:style>
  <w:style w:type="paragraph" w:styleId="Signature">
    <w:name w:val="Signature"/>
    <w:basedOn w:val="Normal"/>
    <w:link w:val="SignatureChar"/>
    <w:uiPriority w:val="99"/>
    <w:semiHidden/>
    <w:unhideWhenUsed/>
    <w:locked/>
    <w:rsid w:val="00F80750"/>
    <w:pPr>
      <w:spacing w:after="0"/>
      <w:ind w:left="4252"/>
    </w:pPr>
  </w:style>
  <w:style w:type="character" w:customStyle="1" w:styleId="SignatureChar">
    <w:name w:val="Signature Char"/>
    <w:basedOn w:val="DefaultParagraphFont"/>
    <w:link w:val="Signature"/>
    <w:uiPriority w:val="99"/>
    <w:semiHidden/>
    <w:rsid w:val="00F80750"/>
    <w:rPr>
      <w:noProof w:val="0"/>
      <w:lang w:val="en-AU"/>
    </w:rPr>
  </w:style>
  <w:style w:type="character" w:styleId="Strong">
    <w:name w:val="Strong"/>
    <w:basedOn w:val="DefaultParagraphFont"/>
    <w:uiPriority w:val="22"/>
    <w:qFormat/>
    <w:locked/>
    <w:rsid w:val="00F80750"/>
    <w:rPr>
      <w:b/>
      <w:bCs/>
      <w:noProof w:val="0"/>
      <w:lang w:val="en-AU"/>
    </w:rPr>
  </w:style>
  <w:style w:type="paragraph" w:styleId="Subtitle">
    <w:name w:val="Subtitle"/>
    <w:basedOn w:val="Normal"/>
    <w:next w:val="Normal"/>
    <w:link w:val="SubtitleChar"/>
    <w:uiPriority w:val="11"/>
    <w:unhideWhenUsed/>
    <w:qFormat/>
    <w:locked/>
    <w:rsid w:val="00F80750"/>
    <w:pPr>
      <w:tabs>
        <w:tab w:val="num" w:pos="357"/>
      </w:tabs>
      <w:ind w:left="357" w:hanging="357"/>
    </w:pPr>
    <w:rPr>
      <w:rFonts w:asciiTheme="majorHAnsi" w:eastAsiaTheme="majorEastAsia" w:hAnsiTheme="majorHAnsi" w:cstheme="majorBidi"/>
      <w:i/>
      <w:iCs/>
      <w:color w:val="FF6319" w:themeColor="accent1"/>
      <w:spacing w:val="15"/>
    </w:rPr>
  </w:style>
  <w:style w:type="character" w:customStyle="1" w:styleId="SubtitleChar">
    <w:name w:val="Subtitle Char"/>
    <w:basedOn w:val="DefaultParagraphFont"/>
    <w:link w:val="Subtitle"/>
    <w:uiPriority w:val="11"/>
    <w:rsid w:val="00F80750"/>
    <w:rPr>
      <w:rFonts w:asciiTheme="majorHAnsi" w:eastAsiaTheme="majorEastAsia" w:hAnsiTheme="majorHAnsi" w:cstheme="majorBidi"/>
      <w:i/>
      <w:iCs/>
      <w:color w:val="FF6319" w:themeColor="accent1"/>
      <w:spacing w:val="15"/>
    </w:rPr>
  </w:style>
  <w:style w:type="character" w:styleId="SubtleEmphasis">
    <w:name w:val="Subtle Emphasis"/>
    <w:basedOn w:val="DefaultParagraphFont"/>
    <w:uiPriority w:val="19"/>
    <w:qFormat/>
    <w:locked/>
    <w:rsid w:val="00F80750"/>
    <w:rPr>
      <w:i/>
      <w:iCs/>
      <w:noProof w:val="0"/>
      <w:color w:val="808080" w:themeColor="text1" w:themeTint="7F"/>
      <w:lang w:val="en-AU"/>
    </w:rPr>
  </w:style>
  <w:style w:type="character" w:styleId="SubtleReference">
    <w:name w:val="Subtle Reference"/>
    <w:basedOn w:val="DefaultParagraphFont"/>
    <w:uiPriority w:val="31"/>
    <w:qFormat/>
    <w:locked/>
    <w:rsid w:val="00F80750"/>
    <w:rPr>
      <w:smallCaps/>
      <w:noProof w:val="0"/>
      <w:color w:val="565A5C" w:themeColor="accent2"/>
      <w:u w:val="single"/>
      <w:lang w:val="en-AU"/>
    </w:rPr>
  </w:style>
  <w:style w:type="table" w:styleId="Table3Deffects1">
    <w:name w:val="Table 3D effects 1"/>
    <w:basedOn w:val="TableNormal"/>
    <w:uiPriority w:val="99"/>
    <w:semiHidden/>
    <w:unhideWhenUsed/>
    <w:locked/>
    <w:rsid w:val="00F8075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locked/>
    <w:rsid w:val="00F8075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locked/>
    <w:rsid w:val="00F8075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locked/>
    <w:rsid w:val="00F8075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locked/>
    <w:rsid w:val="00F8075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locked/>
    <w:rsid w:val="00F8075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locked/>
    <w:rsid w:val="00F8075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locked/>
    <w:rsid w:val="00F8075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locked/>
    <w:rsid w:val="00F8075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locked/>
    <w:rsid w:val="00F8075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locked/>
    <w:rsid w:val="00F8075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locked/>
    <w:rsid w:val="00F8075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locked/>
    <w:rsid w:val="00F8075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locked/>
    <w:rsid w:val="00F8075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locked/>
    <w:rsid w:val="00F8075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locked/>
    <w:rsid w:val="00F8075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locked/>
    <w:rsid w:val="00F8075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locked/>
    <w:rsid w:val="00F8075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locked/>
    <w:rsid w:val="00F8075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locked/>
    <w:rsid w:val="00F8075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locked/>
    <w:rsid w:val="00F8075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locked/>
    <w:rsid w:val="00F8075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locked/>
    <w:rsid w:val="00F8075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locked/>
    <w:rsid w:val="00F8075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locked/>
    <w:rsid w:val="00F8075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locked/>
    <w:rsid w:val="00F8075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locked/>
    <w:rsid w:val="00F8075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locked/>
    <w:rsid w:val="00F8075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locked/>
    <w:rsid w:val="00F8075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locked/>
    <w:rsid w:val="00F8075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locked/>
    <w:rsid w:val="00F8075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locked/>
    <w:rsid w:val="00F8075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locked/>
    <w:rsid w:val="00F8075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locked/>
    <w:rsid w:val="00F80750"/>
    <w:pPr>
      <w:spacing w:after="0"/>
      <w:ind w:left="190" w:hanging="190"/>
    </w:pPr>
  </w:style>
  <w:style w:type="paragraph" w:styleId="TableofFigures">
    <w:name w:val="table of figures"/>
    <w:basedOn w:val="Normal"/>
    <w:next w:val="Normal"/>
    <w:uiPriority w:val="99"/>
    <w:semiHidden/>
    <w:unhideWhenUsed/>
    <w:locked/>
    <w:rsid w:val="00F80750"/>
    <w:pPr>
      <w:spacing w:after="0"/>
    </w:pPr>
  </w:style>
  <w:style w:type="table" w:styleId="TableProfessional">
    <w:name w:val="Table Professional"/>
    <w:basedOn w:val="TableNormal"/>
    <w:uiPriority w:val="99"/>
    <w:semiHidden/>
    <w:unhideWhenUsed/>
    <w:locked/>
    <w:rsid w:val="00F8075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locked/>
    <w:rsid w:val="00F8075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locked/>
    <w:rsid w:val="00F8075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locked/>
    <w:rsid w:val="00F8075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locked/>
    <w:rsid w:val="00F8075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locked/>
    <w:rsid w:val="00F8075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locked/>
    <w:rsid w:val="00F807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locked/>
    <w:rsid w:val="00F8075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locked/>
    <w:rsid w:val="00F8075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locked/>
    <w:rsid w:val="00F8075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locked/>
    <w:rsid w:val="00F80750"/>
    <w:rPr>
      <w:rFonts w:asciiTheme="majorHAnsi" w:eastAsiaTheme="majorEastAsia" w:hAnsiTheme="majorHAnsi" w:cstheme="majorBidi"/>
      <w:b/>
      <w:bCs/>
    </w:rPr>
  </w:style>
  <w:style w:type="paragraph" w:styleId="TOC2">
    <w:name w:val="toc 2"/>
    <w:basedOn w:val="Normal"/>
    <w:next w:val="Normal"/>
    <w:autoRedefine/>
    <w:uiPriority w:val="39"/>
    <w:rsid w:val="00521D3D"/>
    <w:pPr>
      <w:tabs>
        <w:tab w:val="right" w:pos="9072"/>
      </w:tabs>
    </w:pPr>
  </w:style>
  <w:style w:type="paragraph" w:styleId="TOC3">
    <w:name w:val="toc 3"/>
    <w:basedOn w:val="Normal"/>
    <w:next w:val="Normal"/>
    <w:autoRedefine/>
    <w:uiPriority w:val="39"/>
    <w:rsid w:val="00521D3D"/>
    <w:pPr>
      <w:tabs>
        <w:tab w:val="right" w:pos="9072"/>
      </w:tabs>
      <w:contextualSpacing/>
    </w:pPr>
    <w:rPr>
      <w:sz w:val="18"/>
    </w:rPr>
  </w:style>
  <w:style w:type="paragraph" w:styleId="TOC4">
    <w:name w:val="toc 4"/>
    <w:basedOn w:val="Normal"/>
    <w:next w:val="Normal"/>
    <w:autoRedefine/>
    <w:uiPriority w:val="39"/>
    <w:semiHidden/>
    <w:unhideWhenUsed/>
    <w:locked/>
    <w:rsid w:val="00F80750"/>
    <w:pPr>
      <w:spacing w:after="100"/>
      <w:ind w:left="570"/>
    </w:pPr>
  </w:style>
  <w:style w:type="paragraph" w:styleId="TOC5">
    <w:name w:val="toc 5"/>
    <w:basedOn w:val="Normal"/>
    <w:next w:val="Normal"/>
    <w:autoRedefine/>
    <w:uiPriority w:val="39"/>
    <w:semiHidden/>
    <w:unhideWhenUsed/>
    <w:locked/>
    <w:rsid w:val="00F80750"/>
    <w:pPr>
      <w:spacing w:after="100"/>
      <w:ind w:left="760"/>
    </w:pPr>
  </w:style>
  <w:style w:type="paragraph" w:styleId="TOC6">
    <w:name w:val="toc 6"/>
    <w:basedOn w:val="Normal"/>
    <w:next w:val="Normal"/>
    <w:autoRedefine/>
    <w:uiPriority w:val="39"/>
    <w:semiHidden/>
    <w:unhideWhenUsed/>
    <w:locked/>
    <w:rsid w:val="00F80750"/>
    <w:pPr>
      <w:spacing w:after="100"/>
      <w:ind w:left="950"/>
    </w:pPr>
  </w:style>
  <w:style w:type="paragraph" w:styleId="TOC7">
    <w:name w:val="toc 7"/>
    <w:basedOn w:val="Normal"/>
    <w:next w:val="Normal"/>
    <w:autoRedefine/>
    <w:uiPriority w:val="39"/>
    <w:semiHidden/>
    <w:unhideWhenUsed/>
    <w:locked/>
    <w:rsid w:val="00F80750"/>
    <w:pPr>
      <w:spacing w:after="100"/>
      <w:ind w:left="1140"/>
    </w:pPr>
  </w:style>
  <w:style w:type="paragraph" w:styleId="TOC8">
    <w:name w:val="toc 8"/>
    <w:basedOn w:val="Normal"/>
    <w:next w:val="Normal"/>
    <w:autoRedefine/>
    <w:uiPriority w:val="39"/>
    <w:semiHidden/>
    <w:unhideWhenUsed/>
    <w:locked/>
    <w:rsid w:val="00F80750"/>
    <w:pPr>
      <w:spacing w:after="100"/>
      <w:ind w:left="1330"/>
    </w:pPr>
  </w:style>
  <w:style w:type="paragraph" w:styleId="TOC9">
    <w:name w:val="toc 9"/>
    <w:basedOn w:val="Normal"/>
    <w:next w:val="Normal"/>
    <w:autoRedefine/>
    <w:uiPriority w:val="39"/>
    <w:semiHidden/>
    <w:unhideWhenUsed/>
    <w:locked/>
    <w:rsid w:val="00F80750"/>
    <w:pPr>
      <w:spacing w:after="100"/>
      <w:ind w:left="1520"/>
    </w:pPr>
  </w:style>
  <w:style w:type="numbering" w:styleId="111111">
    <w:name w:val="Outline List 2"/>
    <w:basedOn w:val="NoList"/>
    <w:uiPriority w:val="99"/>
    <w:semiHidden/>
    <w:unhideWhenUsed/>
    <w:rsid w:val="006309FA"/>
    <w:pPr>
      <w:numPr>
        <w:numId w:val="37"/>
      </w:numPr>
    </w:pPr>
  </w:style>
  <w:style w:type="paragraph" w:customStyle="1" w:styleId="Introduction">
    <w:name w:val="Introduction"/>
    <w:basedOn w:val="Normal"/>
    <w:next w:val="Normal"/>
    <w:uiPriority w:val="11"/>
    <w:qFormat/>
    <w:rsid w:val="00B82670"/>
    <w:rPr>
      <w:rFonts w:ascii="Roboto Medium" w:hAnsi="Roboto Medium"/>
      <w:color w:val="000000" w:themeColor="text1"/>
      <w:sz w:val="22"/>
    </w:rPr>
  </w:style>
  <w:style w:type="table" w:styleId="TableGridLight">
    <w:name w:val="Grid Table Light"/>
    <w:basedOn w:val="TableNormal"/>
    <w:uiPriority w:val="40"/>
    <w:rsid w:val="00701EC6"/>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AppendixList">
    <w:name w:val="Appendix List"/>
    <w:uiPriority w:val="99"/>
    <w:rsid w:val="00495A4C"/>
    <w:pPr>
      <w:numPr>
        <w:numId w:val="31"/>
      </w:numPr>
    </w:pPr>
  </w:style>
  <w:style w:type="paragraph" w:customStyle="1" w:styleId="AppendixHeading">
    <w:name w:val="Appendix Heading"/>
    <w:basedOn w:val="Heading1"/>
    <w:next w:val="Normal"/>
    <w:uiPriority w:val="10"/>
    <w:qFormat/>
    <w:rsid w:val="003A2733"/>
    <w:pPr>
      <w:numPr>
        <w:numId w:val="31"/>
      </w:numPr>
    </w:pPr>
  </w:style>
  <w:style w:type="paragraph" w:customStyle="1" w:styleId="AppendixSubHeading">
    <w:name w:val="Appendix Sub Heading"/>
    <w:basedOn w:val="Heading2"/>
    <w:next w:val="Normal"/>
    <w:uiPriority w:val="10"/>
    <w:qFormat/>
    <w:rsid w:val="003A2733"/>
    <w:pPr>
      <w:numPr>
        <w:numId w:val="31"/>
      </w:numPr>
    </w:pPr>
  </w:style>
  <w:style w:type="paragraph" w:customStyle="1" w:styleId="Heading2Light">
    <w:name w:val="Heading 2 Light"/>
    <w:basedOn w:val="Heading2"/>
    <w:uiPriority w:val="9"/>
    <w:qFormat/>
    <w:rsid w:val="001F7277"/>
    <w:rPr>
      <w:rFonts w:asciiTheme="majorHAnsi" w:hAnsiTheme="majorHAnsi"/>
      <w:sz w:val="20"/>
    </w:rPr>
  </w:style>
  <w:style w:type="paragraph" w:customStyle="1" w:styleId="Heading2NoNumber">
    <w:name w:val="Heading 2 No Number"/>
    <w:basedOn w:val="Heading2"/>
    <w:next w:val="Normal"/>
    <w:uiPriority w:val="9"/>
    <w:qFormat/>
    <w:rsid w:val="00BA627A"/>
    <w:pPr>
      <w:numPr>
        <w:ilvl w:val="0"/>
        <w:numId w:val="0"/>
      </w:numPr>
    </w:pPr>
  </w:style>
  <w:style w:type="paragraph" w:customStyle="1" w:styleId="Heading3NoNumber">
    <w:name w:val="Heading 3 No Number"/>
    <w:basedOn w:val="Heading3"/>
    <w:next w:val="Normal"/>
    <w:uiPriority w:val="9"/>
    <w:qFormat/>
    <w:rsid w:val="00BA627A"/>
    <w:pPr>
      <w:numPr>
        <w:ilvl w:val="0"/>
        <w:numId w:val="0"/>
      </w:numPr>
    </w:pPr>
  </w:style>
  <w:style w:type="paragraph" w:customStyle="1" w:styleId="Heading4NoNumber">
    <w:name w:val="Heading 4 No Number"/>
    <w:basedOn w:val="Heading4"/>
    <w:next w:val="Normal"/>
    <w:uiPriority w:val="9"/>
    <w:qFormat/>
    <w:rsid w:val="00BA627A"/>
    <w:pPr>
      <w:numPr>
        <w:ilvl w:val="0"/>
        <w:numId w:val="0"/>
      </w:numPr>
    </w:pPr>
  </w:style>
  <w:style w:type="numbering" w:customStyle="1" w:styleId="BulletList">
    <w:name w:val="Bullet List"/>
    <w:uiPriority w:val="99"/>
    <w:rsid w:val="002439E1"/>
    <w:pPr>
      <w:numPr>
        <w:numId w:val="38"/>
      </w:numPr>
    </w:pPr>
  </w:style>
  <w:style w:type="paragraph" w:customStyle="1" w:styleId="InstructionText">
    <w:name w:val="Instruction Text"/>
    <w:basedOn w:val="Normal"/>
    <w:uiPriority w:val="22"/>
    <w:qFormat/>
    <w:rsid w:val="00E7485C"/>
    <w:rPr>
      <w:color w:val="00ADD0" w:themeColor="accent4"/>
    </w:rPr>
  </w:style>
  <w:style w:type="table" w:customStyle="1" w:styleId="ShadedTable">
    <w:name w:val="Shaded Table"/>
    <w:basedOn w:val="TableGrid"/>
    <w:uiPriority w:val="99"/>
    <w:rsid w:val="00C371C4"/>
    <w:tblPr>
      <w:tblBorders>
        <w:top w:val="single" w:sz="4" w:space="0" w:color="B2B2B2"/>
        <w:left w:val="single" w:sz="4" w:space="0" w:color="B2B2B2"/>
        <w:bottom w:val="single" w:sz="4" w:space="0" w:color="B2B2B2"/>
        <w:right w:val="single" w:sz="4" w:space="0" w:color="B2B2B2"/>
        <w:insideH w:val="single" w:sz="4" w:space="0" w:color="B2B2B2"/>
        <w:insideV w:val="single" w:sz="4" w:space="0" w:color="B2B2B2"/>
      </w:tblBorders>
    </w:tblPr>
    <w:tcPr>
      <w:shd w:val="clear" w:color="auto" w:fill="auto"/>
    </w:tcPr>
    <w:tblStylePr w:type="firstRow">
      <w:rPr>
        <w:rFonts w:ascii="Roboto Medium" w:hAnsi="Roboto Medium"/>
        <w:b w:val="0"/>
        <w:caps w:val="0"/>
        <w:smallCaps w:val="0"/>
        <w:sz w:val="20"/>
      </w:rPr>
      <w:tblPr/>
      <w:tcPr>
        <w:shd w:val="clear" w:color="auto" w:fill="DCDEDE" w:themeFill="accent2" w:themeFillTint="33"/>
      </w:tcPr>
    </w:tblStylePr>
    <w:tblStylePr w:type="lastRow">
      <w:rPr>
        <w:rFonts w:asciiTheme="minorHAnsi" w:hAnsiTheme="minorHAnsi"/>
        <w:b w:val="0"/>
        <w:color w:val="auto"/>
      </w:rPr>
    </w:tblStylePr>
    <w:tblStylePr w:type="firstCol">
      <w:rPr>
        <w:rFonts w:ascii="Roboto Medium" w:hAnsi="Roboto Medium"/>
        <w:sz w:val="20"/>
      </w:rPr>
      <w:tblPr/>
      <w:tcPr>
        <w:shd w:val="clear" w:color="auto" w:fill="F0F0F0"/>
      </w:tcPr>
    </w:tblStylePr>
  </w:style>
  <w:style w:type="paragraph" w:customStyle="1" w:styleId="Address">
    <w:name w:val="Address"/>
    <w:basedOn w:val="Normal"/>
    <w:uiPriority w:val="41"/>
    <w:rsid w:val="00725949"/>
    <w:pPr>
      <w:spacing w:after="480"/>
      <w:contextualSpacing/>
    </w:pPr>
  </w:style>
  <w:style w:type="paragraph" w:customStyle="1" w:styleId="Name">
    <w:name w:val="Name"/>
    <w:basedOn w:val="Normal"/>
    <w:uiPriority w:val="41"/>
    <w:rsid w:val="006F74B8"/>
    <w:pPr>
      <w:spacing w:after="240"/>
    </w:pPr>
  </w:style>
  <w:style w:type="paragraph" w:customStyle="1" w:styleId="YoursSincerely">
    <w:name w:val="Yours Sincerely"/>
    <w:basedOn w:val="Normal"/>
    <w:uiPriority w:val="41"/>
    <w:rsid w:val="00792BFF"/>
    <w:pPr>
      <w:spacing w:before="480" w:after="960"/>
    </w:pPr>
  </w:style>
  <w:style w:type="table" w:customStyle="1" w:styleId="MinutesAgendatable">
    <w:name w:val="Minutes/Agenda table"/>
    <w:basedOn w:val="TableGrid"/>
    <w:uiPriority w:val="99"/>
    <w:rsid w:val="00296F7F"/>
    <w:rPr>
      <w:sz w:val="22"/>
    </w:rPr>
    <w:tblPr>
      <w:tblBorders>
        <w:top w:val="single" w:sz="4" w:space="0" w:color="565A5C" w:themeColor="accent2"/>
        <w:left w:val="none" w:sz="0" w:space="0" w:color="auto"/>
        <w:bottom w:val="single" w:sz="4" w:space="0" w:color="565A5C" w:themeColor="accent2"/>
        <w:right w:val="none" w:sz="0" w:space="0" w:color="auto"/>
        <w:insideH w:val="single" w:sz="4" w:space="0" w:color="565A5C" w:themeColor="accent2"/>
        <w:insideV w:val="none" w:sz="0" w:space="0" w:color="auto"/>
      </w:tblBorders>
      <w:tblCellMar>
        <w:left w:w="0" w:type="dxa"/>
        <w:right w:w="0" w:type="dxa"/>
      </w:tblCellMar>
    </w:tblPr>
    <w:tcPr>
      <w:shd w:val="clear" w:color="auto" w:fill="auto"/>
    </w:tcPr>
    <w:tblStylePr w:type="firstRow">
      <w:rPr>
        <w:rFonts w:ascii="Roboto Medium" w:hAnsi="Roboto Medium"/>
        <w:b w:val="0"/>
        <w:caps/>
        <w:smallCaps w:val="0"/>
        <w:sz w:val="22"/>
      </w:rPr>
      <w:tblPr/>
      <w:trPr>
        <w:tblHeader/>
      </w:trPr>
    </w:tblStylePr>
    <w:tblStylePr w:type="lastRow">
      <w:rPr>
        <w:rFonts w:ascii="Roboto Medium" w:hAnsi="Roboto Medium"/>
        <w:b w:val="0"/>
        <w:color w:val="auto"/>
      </w:rPr>
    </w:tblStylePr>
    <w:tblStylePr w:type="firstCol">
      <w:rPr>
        <w:rFonts w:ascii="Roboto Medium" w:hAnsi="Roboto Medium"/>
        <w:caps/>
        <w:smallCaps w:val="0"/>
        <w:sz w:val="22"/>
      </w:rPr>
    </w:tblStylePr>
  </w:style>
  <w:style w:type="numbering" w:styleId="1ai">
    <w:name w:val="Outline List 1"/>
    <w:basedOn w:val="NoList"/>
    <w:uiPriority w:val="99"/>
    <w:semiHidden/>
    <w:unhideWhenUsed/>
    <w:rsid w:val="003D160A"/>
    <w:pPr>
      <w:numPr>
        <w:numId w:val="41"/>
      </w:numPr>
    </w:pPr>
  </w:style>
  <w:style w:type="paragraph" w:customStyle="1" w:styleId="ContentBold">
    <w:name w:val="Content (Bold)"/>
    <w:basedOn w:val="Normal"/>
    <w:next w:val="Normal"/>
    <w:link w:val="ContentBoldChar"/>
    <w:qFormat/>
    <w:rsid w:val="007859C4"/>
    <w:rPr>
      <w:rFonts w:ascii="Roboto Medium" w:hAnsi="Roboto Medium"/>
    </w:rPr>
  </w:style>
  <w:style w:type="character" w:customStyle="1" w:styleId="ContentBoldChar">
    <w:name w:val="Content (Bold) Char"/>
    <w:basedOn w:val="DefaultParagraphFont"/>
    <w:link w:val="ContentBold"/>
    <w:rsid w:val="00922F04"/>
    <w:rPr>
      <w:rFonts w:ascii="Roboto Medium" w:hAnsi="Roboto Medium"/>
    </w:rPr>
  </w:style>
  <w:style w:type="paragraph" w:customStyle="1" w:styleId="Heading2Medium">
    <w:name w:val="Heading 2 Medium"/>
    <w:basedOn w:val="Heading2"/>
    <w:uiPriority w:val="9"/>
    <w:qFormat/>
    <w:rsid w:val="009F22A4"/>
    <w:rPr>
      <w:sz w:val="20"/>
    </w:rPr>
  </w:style>
  <w:style w:type="character" w:customStyle="1" w:styleId="SAABulletsChar">
    <w:name w:val="SAA Bullets Char"/>
    <w:basedOn w:val="DefaultParagraphFont"/>
    <w:link w:val="SAABullets"/>
    <w:uiPriority w:val="99"/>
    <w:locked/>
    <w:rsid w:val="006C497A"/>
    <w:rPr>
      <w:color w:val="000000" w:themeColor="text1"/>
    </w:rPr>
  </w:style>
  <w:style w:type="paragraph" w:customStyle="1" w:styleId="SAABullets">
    <w:name w:val="SAA Bullets"/>
    <w:basedOn w:val="Normal"/>
    <w:link w:val="SAABulletsChar"/>
    <w:uiPriority w:val="99"/>
    <w:qFormat/>
    <w:rsid w:val="00B2646F"/>
    <w:pPr>
      <w:numPr>
        <w:numId w:val="48"/>
      </w:numPr>
      <w:spacing w:before="120"/>
    </w:pPr>
    <w:rPr>
      <w:color w:val="000000" w:themeColor="text1"/>
    </w:rPr>
  </w:style>
  <w:style w:type="paragraph" w:customStyle="1" w:styleId="SAAbodytext">
    <w:name w:val="SAA body text"/>
    <w:next w:val="Normal"/>
    <w:uiPriority w:val="99"/>
    <w:qFormat/>
    <w:rsid w:val="006C497A"/>
    <w:pPr>
      <w:spacing w:before="120" w:after="0"/>
    </w:pPr>
    <w:rPr>
      <w:color w:val="auto"/>
    </w:rPr>
  </w:style>
  <w:style w:type="character" w:customStyle="1" w:styleId="SAABullets2Char">
    <w:name w:val="SAA Bullets 2 Char"/>
    <w:basedOn w:val="DefaultParagraphFont"/>
    <w:link w:val="SAABullets2"/>
    <w:uiPriority w:val="99"/>
    <w:locked/>
    <w:rsid w:val="006C497A"/>
    <w:rPr>
      <w:color w:val="000000" w:themeColor="text1"/>
    </w:rPr>
  </w:style>
  <w:style w:type="paragraph" w:customStyle="1" w:styleId="SAABullets2">
    <w:name w:val="SAA Bullets 2"/>
    <w:basedOn w:val="ListBullet2"/>
    <w:link w:val="SAABullets2Char"/>
    <w:uiPriority w:val="99"/>
    <w:qFormat/>
    <w:rsid w:val="006C497A"/>
    <w:pPr>
      <w:numPr>
        <w:numId w:val="49"/>
      </w:numPr>
    </w:pPr>
  </w:style>
  <w:style w:type="paragraph" w:customStyle="1" w:styleId="SAAbodytext8mmabove">
    <w:name w:val="SAA body text (8mm above)"/>
    <w:next w:val="Normal"/>
    <w:uiPriority w:val="99"/>
    <w:qFormat/>
    <w:rsid w:val="00531DC2"/>
    <w:pPr>
      <w:spacing w:before="160" w:after="0"/>
    </w:pPr>
    <w:rPr>
      <w:color w:val="auto"/>
      <w14:ligatures w14:val="standardContextual"/>
    </w:rPr>
  </w:style>
  <w:style w:type="character" w:customStyle="1" w:styleId="Heading2Char1">
    <w:name w:val="Heading 2 Char1"/>
    <w:aliases w:val="Heading 2 (after H1) Char1"/>
    <w:basedOn w:val="DefaultParagraphFont"/>
    <w:uiPriority w:val="9"/>
    <w:semiHidden/>
    <w:rsid w:val="00B2646F"/>
    <w:rPr>
      <w:rFonts w:asciiTheme="majorHAnsi" w:eastAsiaTheme="majorEastAsia" w:hAnsiTheme="majorHAnsi" w:cstheme="majorBidi"/>
      <w:color w:val="D14300" w:themeColor="accent1" w:themeShade="BF"/>
      <w:sz w:val="32"/>
      <w:szCs w:val="32"/>
    </w:rPr>
  </w:style>
  <w:style w:type="paragraph" w:customStyle="1" w:styleId="msonormal0">
    <w:name w:val="msonormal"/>
    <w:basedOn w:val="Normal"/>
    <w:uiPriority w:val="99"/>
    <w:semiHidden/>
    <w:rsid w:val="00B2646F"/>
    <w:rPr>
      <w:rFonts w:ascii="Times New Roman" w:hAnsi="Times New Roman" w:cs="Times New Roman"/>
    </w:rPr>
  </w:style>
  <w:style w:type="character" w:customStyle="1" w:styleId="ListBulletChar">
    <w:name w:val="List Bullet Char"/>
    <w:basedOn w:val="DefaultParagraphFont"/>
    <w:link w:val="ListBullet"/>
    <w:uiPriority w:val="99"/>
    <w:rsid w:val="00B2646F"/>
  </w:style>
  <w:style w:type="character" w:customStyle="1" w:styleId="ListBullet2Char">
    <w:name w:val="List Bullet 2 Char"/>
    <w:basedOn w:val="DefaultParagraphFont"/>
    <w:link w:val="ListBullet2"/>
    <w:uiPriority w:val="16"/>
    <w:locked/>
    <w:rsid w:val="00B2646F"/>
    <w:rPr>
      <w:color w:val="000000" w:themeColor="text1"/>
    </w:rPr>
  </w:style>
  <w:style w:type="paragraph" w:styleId="Revision">
    <w:name w:val="Revision"/>
    <w:uiPriority w:val="99"/>
    <w:semiHidden/>
    <w:rsid w:val="00B2646F"/>
    <w:pPr>
      <w:spacing w:after="0"/>
    </w:pPr>
  </w:style>
  <w:style w:type="character" w:customStyle="1" w:styleId="SAAMoreLessChar">
    <w:name w:val="SAA More Less Char"/>
    <w:basedOn w:val="DefaultParagraphFont"/>
    <w:link w:val="SAAMoreLess0"/>
    <w:semiHidden/>
    <w:locked/>
    <w:rsid w:val="00B2646F"/>
    <w:rPr>
      <w:i/>
    </w:rPr>
  </w:style>
  <w:style w:type="paragraph" w:customStyle="1" w:styleId="SAAMoreLess0">
    <w:name w:val="SAA More Less"/>
    <w:basedOn w:val="Normal"/>
    <w:link w:val="SAAMoreLessChar"/>
    <w:semiHidden/>
    <w:qFormat/>
    <w:rsid w:val="00B2646F"/>
    <w:pPr>
      <w:spacing w:before="160" w:after="0"/>
    </w:pPr>
    <w:rPr>
      <w:i/>
    </w:rPr>
  </w:style>
  <w:style w:type="paragraph" w:customStyle="1" w:styleId="SAAHeading2afterH1">
    <w:name w:val="SAA Heading 2 (after H1)"/>
    <w:next w:val="Normal"/>
    <w:uiPriority w:val="99"/>
    <w:semiHidden/>
    <w:qFormat/>
    <w:rsid w:val="00B2646F"/>
    <w:pPr>
      <w:spacing w:before="240"/>
    </w:pPr>
    <w:rPr>
      <w:rFonts w:ascii="Roboto Medium" w:hAnsi="Roboto Medium"/>
      <w:color w:val="auto"/>
      <w:sz w:val="24"/>
      <w:szCs w:val="24"/>
      <w14:ligatures w14:val="standardContextual"/>
    </w:rPr>
  </w:style>
  <w:style w:type="character" w:customStyle="1" w:styleId="SAAbulletsChar0">
    <w:name w:val="SAA bullets Char"/>
    <w:basedOn w:val="DefaultParagraphFont"/>
    <w:link w:val="SAAbullets0"/>
    <w:semiHidden/>
    <w:locked/>
    <w:rsid w:val="00B2646F"/>
    <w:rPr>
      <w:color w:val="auto"/>
      <w:szCs w:val="22"/>
      <w14:ligatures w14:val="standardContextual"/>
    </w:rPr>
  </w:style>
  <w:style w:type="paragraph" w:customStyle="1" w:styleId="SAAbullets0">
    <w:name w:val="SAA bullets"/>
    <w:next w:val="Normal"/>
    <w:link w:val="SAAbulletsChar0"/>
    <w:semiHidden/>
    <w:qFormat/>
    <w:rsid w:val="00B2646F"/>
    <w:pPr>
      <w:spacing w:before="120" w:after="0"/>
      <w:ind w:left="720" w:hanging="360"/>
    </w:pPr>
    <w:rPr>
      <w:color w:val="auto"/>
      <w:szCs w:val="22"/>
      <w14:ligatures w14:val="standardContextual"/>
    </w:rPr>
  </w:style>
  <w:style w:type="paragraph" w:customStyle="1" w:styleId="SAAQuestion12etc">
    <w:name w:val="SAA Question 1 2 ... etc"/>
    <w:next w:val="Normal"/>
    <w:uiPriority w:val="99"/>
    <w:semiHidden/>
    <w:qFormat/>
    <w:rsid w:val="00B2646F"/>
    <w:pPr>
      <w:spacing w:before="200"/>
    </w:pPr>
    <w:rPr>
      <w:rFonts w:ascii="Roboto Medium" w:hAnsi="Roboto Medium"/>
      <w:color w:val="auto"/>
      <w14:ligatures w14:val="standardContextual"/>
    </w:rPr>
  </w:style>
  <w:style w:type="paragraph" w:customStyle="1" w:styleId="SAAbodytextThemorelesssuccessful">
    <w:name w:val="SAA body text (The more/less successful...)"/>
    <w:next w:val="Normal"/>
    <w:uiPriority w:val="99"/>
    <w:semiHidden/>
    <w:qFormat/>
    <w:rsid w:val="00B2646F"/>
    <w:pPr>
      <w:spacing w:before="160" w:after="0"/>
    </w:pPr>
    <w:rPr>
      <w:i/>
      <w:color w:val="auto"/>
      <w14:ligatures w14:val="standardContextual"/>
    </w:rPr>
  </w:style>
  <w:style w:type="character" w:customStyle="1" w:styleId="SAAQuestionsChar">
    <w:name w:val="SAA Questions Char"/>
    <w:basedOn w:val="SAAbulletsChar0"/>
    <w:link w:val="SAAQuestions"/>
    <w:semiHidden/>
    <w:locked/>
    <w:rsid w:val="00B2646F"/>
    <w:rPr>
      <w:rFonts w:ascii="Roboto Medium" w:hAnsi="Roboto Medium"/>
      <w:color w:val="auto"/>
      <w:szCs w:val="22"/>
      <w14:ligatures w14:val="standardContextual"/>
    </w:rPr>
  </w:style>
  <w:style w:type="paragraph" w:customStyle="1" w:styleId="SAAQuestions">
    <w:name w:val="SAA Questions"/>
    <w:basedOn w:val="SAAbullets0"/>
    <w:link w:val="SAAQuestionsChar"/>
    <w:semiHidden/>
    <w:qFormat/>
    <w:rsid w:val="00B2646F"/>
    <w:pPr>
      <w:spacing w:before="200" w:after="120"/>
      <w:ind w:left="0" w:firstLine="0"/>
    </w:pPr>
    <w:rPr>
      <w:rFonts w:ascii="Roboto Medium" w:hAnsi="Roboto Medium"/>
    </w:rPr>
  </w:style>
  <w:style w:type="paragraph" w:customStyle="1" w:styleId="SAAQuestion">
    <w:name w:val="SAA Question"/>
    <w:basedOn w:val="SAAQuestions"/>
    <w:link w:val="SAAQuestionChar"/>
    <w:qFormat/>
    <w:rsid w:val="00B2646F"/>
  </w:style>
  <w:style w:type="character" w:customStyle="1" w:styleId="SAAQuestionChar">
    <w:name w:val="SAA Question Char"/>
    <w:basedOn w:val="SAAQuestionsChar"/>
    <w:link w:val="SAAQuestion"/>
    <w:rsid w:val="00B2646F"/>
    <w:rPr>
      <w:rFonts w:ascii="Roboto Medium" w:hAnsi="Roboto Medium"/>
      <w:color w:val="auto"/>
      <w:szCs w:val="22"/>
      <w14:ligatures w14:val="standardContextual"/>
    </w:rPr>
  </w:style>
  <w:style w:type="paragraph" w:customStyle="1" w:styleId="SAAmoreless">
    <w:name w:val="SAA more less"/>
    <w:basedOn w:val="SAAMoreLess0"/>
    <w:link w:val="SAAmorelessChar0"/>
    <w:qFormat/>
    <w:rsid w:val="00B2646F"/>
    <w:pPr>
      <w:numPr>
        <w:numId w:val="10"/>
      </w:numPr>
      <w:spacing w:before="120" w:after="120"/>
    </w:pPr>
  </w:style>
  <w:style w:type="character" w:customStyle="1" w:styleId="SAAmorelessChar0">
    <w:name w:val="SAA more less Char"/>
    <w:basedOn w:val="SAABulletsChar"/>
    <w:link w:val="SAAmoreless"/>
    <w:rsid w:val="00B2646F"/>
    <w:rPr>
      <w:i/>
      <w:color w:val="000000" w:themeColor="text1"/>
    </w:rPr>
  </w:style>
  <w:style w:type="character" w:customStyle="1" w:styleId="SAABullet2Char">
    <w:name w:val="SAA Bullet 2 Char"/>
    <w:basedOn w:val="ListBulletChar"/>
    <w:link w:val="SAABullet2"/>
    <w:rsid w:val="00B2646F"/>
  </w:style>
  <w:style w:type="paragraph" w:customStyle="1" w:styleId="SAABullet">
    <w:name w:val="SAA Bullet"/>
    <w:basedOn w:val="SAABullets"/>
    <w:link w:val="SAABulletChar"/>
    <w:qFormat/>
    <w:rsid w:val="0052389F"/>
  </w:style>
  <w:style w:type="character" w:customStyle="1" w:styleId="SAABulletChar">
    <w:name w:val="SAA Bullet Char"/>
    <w:basedOn w:val="SAABulletsChar"/>
    <w:link w:val="SAABullet"/>
    <w:rsid w:val="0052389F"/>
    <w:rPr>
      <w:color w:val="000000" w:themeColor="text1"/>
    </w:rPr>
  </w:style>
  <w:style w:type="paragraph" w:customStyle="1" w:styleId="SAABullet3">
    <w:name w:val="SAA Bullet 3"/>
    <w:basedOn w:val="SAABullets"/>
    <w:link w:val="SAABullet3Char"/>
    <w:qFormat/>
    <w:rsid w:val="007E3102"/>
    <w:pPr>
      <w:numPr>
        <w:ilvl w:val="2"/>
        <w:numId w:val="57"/>
      </w:numPr>
    </w:pPr>
    <w:rPr>
      <w:rFonts w:eastAsiaTheme="minorEastAsia"/>
    </w:rPr>
  </w:style>
  <w:style w:type="character" w:customStyle="1" w:styleId="SAABullet3Char">
    <w:name w:val="SAA Bullet 3 Char"/>
    <w:basedOn w:val="SAABulletsChar"/>
    <w:link w:val="SAABullet3"/>
    <w:rsid w:val="007E3102"/>
    <w:rPr>
      <w:rFonts w:eastAsiaTheme="minorEastAsia"/>
      <w:color w:val="000000" w:themeColor="text1"/>
    </w:rPr>
  </w:style>
  <w:style w:type="character" w:styleId="PlaceholderText">
    <w:name w:val="Placeholder Text"/>
    <w:basedOn w:val="DefaultParagraphFont"/>
    <w:uiPriority w:val="99"/>
    <w:unhideWhenUsed/>
    <w:locked/>
    <w:rsid w:val="00BC502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172158">
      <w:bodyDiv w:val="1"/>
      <w:marLeft w:val="0"/>
      <w:marRight w:val="0"/>
      <w:marTop w:val="0"/>
      <w:marBottom w:val="0"/>
      <w:divBdr>
        <w:top w:val="none" w:sz="0" w:space="0" w:color="auto"/>
        <w:left w:val="none" w:sz="0" w:space="0" w:color="auto"/>
        <w:bottom w:val="none" w:sz="0" w:space="0" w:color="auto"/>
        <w:right w:val="none" w:sz="0" w:space="0" w:color="auto"/>
      </w:divBdr>
      <w:divsChild>
        <w:div w:id="362748683">
          <w:marLeft w:val="547"/>
          <w:marRight w:val="0"/>
          <w:marTop w:val="0"/>
          <w:marBottom w:val="0"/>
          <w:divBdr>
            <w:top w:val="none" w:sz="0" w:space="0" w:color="auto"/>
            <w:left w:val="none" w:sz="0" w:space="0" w:color="auto"/>
            <w:bottom w:val="none" w:sz="0" w:space="0" w:color="auto"/>
            <w:right w:val="none" w:sz="0" w:space="0" w:color="auto"/>
          </w:divBdr>
        </w:div>
      </w:divsChild>
    </w:div>
    <w:div w:id="139662902">
      <w:bodyDiv w:val="1"/>
      <w:marLeft w:val="0"/>
      <w:marRight w:val="0"/>
      <w:marTop w:val="0"/>
      <w:marBottom w:val="0"/>
      <w:divBdr>
        <w:top w:val="none" w:sz="0" w:space="0" w:color="auto"/>
        <w:left w:val="none" w:sz="0" w:space="0" w:color="auto"/>
        <w:bottom w:val="none" w:sz="0" w:space="0" w:color="auto"/>
        <w:right w:val="none" w:sz="0" w:space="0" w:color="auto"/>
      </w:divBdr>
    </w:div>
    <w:div w:id="270281634">
      <w:bodyDiv w:val="1"/>
      <w:marLeft w:val="0"/>
      <w:marRight w:val="0"/>
      <w:marTop w:val="0"/>
      <w:marBottom w:val="0"/>
      <w:divBdr>
        <w:top w:val="none" w:sz="0" w:space="0" w:color="auto"/>
        <w:left w:val="none" w:sz="0" w:space="0" w:color="auto"/>
        <w:bottom w:val="none" w:sz="0" w:space="0" w:color="auto"/>
        <w:right w:val="none" w:sz="0" w:space="0" w:color="auto"/>
      </w:divBdr>
    </w:div>
    <w:div w:id="274604422">
      <w:bodyDiv w:val="1"/>
      <w:marLeft w:val="0"/>
      <w:marRight w:val="0"/>
      <w:marTop w:val="0"/>
      <w:marBottom w:val="0"/>
      <w:divBdr>
        <w:top w:val="none" w:sz="0" w:space="0" w:color="auto"/>
        <w:left w:val="none" w:sz="0" w:space="0" w:color="auto"/>
        <w:bottom w:val="none" w:sz="0" w:space="0" w:color="auto"/>
        <w:right w:val="none" w:sz="0" w:space="0" w:color="auto"/>
      </w:divBdr>
    </w:div>
    <w:div w:id="282809987">
      <w:bodyDiv w:val="1"/>
      <w:marLeft w:val="0"/>
      <w:marRight w:val="0"/>
      <w:marTop w:val="0"/>
      <w:marBottom w:val="0"/>
      <w:divBdr>
        <w:top w:val="none" w:sz="0" w:space="0" w:color="auto"/>
        <w:left w:val="none" w:sz="0" w:space="0" w:color="auto"/>
        <w:bottom w:val="none" w:sz="0" w:space="0" w:color="auto"/>
        <w:right w:val="none" w:sz="0" w:space="0" w:color="auto"/>
      </w:divBdr>
    </w:div>
    <w:div w:id="313605383">
      <w:bodyDiv w:val="1"/>
      <w:marLeft w:val="0"/>
      <w:marRight w:val="0"/>
      <w:marTop w:val="0"/>
      <w:marBottom w:val="0"/>
      <w:divBdr>
        <w:top w:val="none" w:sz="0" w:space="0" w:color="auto"/>
        <w:left w:val="none" w:sz="0" w:space="0" w:color="auto"/>
        <w:bottom w:val="none" w:sz="0" w:space="0" w:color="auto"/>
        <w:right w:val="none" w:sz="0" w:space="0" w:color="auto"/>
      </w:divBdr>
    </w:div>
    <w:div w:id="542402419">
      <w:bodyDiv w:val="1"/>
      <w:marLeft w:val="0"/>
      <w:marRight w:val="0"/>
      <w:marTop w:val="0"/>
      <w:marBottom w:val="0"/>
      <w:divBdr>
        <w:top w:val="none" w:sz="0" w:space="0" w:color="auto"/>
        <w:left w:val="none" w:sz="0" w:space="0" w:color="auto"/>
        <w:bottom w:val="none" w:sz="0" w:space="0" w:color="auto"/>
        <w:right w:val="none" w:sz="0" w:space="0" w:color="auto"/>
      </w:divBdr>
    </w:div>
    <w:div w:id="805007629">
      <w:bodyDiv w:val="1"/>
      <w:marLeft w:val="0"/>
      <w:marRight w:val="0"/>
      <w:marTop w:val="0"/>
      <w:marBottom w:val="0"/>
      <w:divBdr>
        <w:top w:val="none" w:sz="0" w:space="0" w:color="auto"/>
        <w:left w:val="none" w:sz="0" w:space="0" w:color="auto"/>
        <w:bottom w:val="none" w:sz="0" w:space="0" w:color="auto"/>
        <w:right w:val="none" w:sz="0" w:space="0" w:color="auto"/>
      </w:divBdr>
      <w:divsChild>
        <w:div w:id="697118187">
          <w:marLeft w:val="547"/>
          <w:marRight w:val="0"/>
          <w:marTop w:val="0"/>
          <w:marBottom w:val="0"/>
          <w:divBdr>
            <w:top w:val="none" w:sz="0" w:space="0" w:color="auto"/>
            <w:left w:val="none" w:sz="0" w:space="0" w:color="auto"/>
            <w:bottom w:val="none" w:sz="0" w:space="0" w:color="auto"/>
            <w:right w:val="none" w:sz="0" w:space="0" w:color="auto"/>
          </w:divBdr>
        </w:div>
      </w:divsChild>
    </w:div>
    <w:div w:id="949243083">
      <w:bodyDiv w:val="1"/>
      <w:marLeft w:val="0"/>
      <w:marRight w:val="0"/>
      <w:marTop w:val="0"/>
      <w:marBottom w:val="0"/>
      <w:divBdr>
        <w:top w:val="none" w:sz="0" w:space="0" w:color="auto"/>
        <w:left w:val="none" w:sz="0" w:space="0" w:color="auto"/>
        <w:bottom w:val="none" w:sz="0" w:space="0" w:color="auto"/>
        <w:right w:val="none" w:sz="0" w:space="0" w:color="auto"/>
      </w:divBdr>
    </w:div>
    <w:div w:id="1016616467">
      <w:bodyDiv w:val="1"/>
      <w:marLeft w:val="0"/>
      <w:marRight w:val="0"/>
      <w:marTop w:val="0"/>
      <w:marBottom w:val="0"/>
      <w:divBdr>
        <w:top w:val="none" w:sz="0" w:space="0" w:color="auto"/>
        <w:left w:val="none" w:sz="0" w:space="0" w:color="auto"/>
        <w:bottom w:val="none" w:sz="0" w:space="0" w:color="auto"/>
        <w:right w:val="none" w:sz="0" w:space="0" w:color="auto"/>
      </w:divBdr>
    </w:div>
    <w:div w:id="1030649508">
      <w:bodyDiv w:val="1"/>
      <w:marLeft w:val="0"/>
      <w:marRight w:val="0"/>
      <w:marTop w:val="0"/>
      <w:marBottom w:val="0"/>
      <w:divBdr>
        <w:top w:val="none" w:sz="0" w:space="0" w:color="auto"/>
        <w:left w:val="none" w:sz="0" w:space="0" w:color="auto"/>
        <w:bottom w:val="none" w:sz="0" w:space="0" w:color="auto"/>
        <w:right w:val="none" w:sz="0" w:space="0" w:color="auto"/>
      </w:divBdr>
    </w:div>
    <w:div w:id="1266688038">
      <w:bodyDiv w:val="1"/>
      <w:marLeft w:val="0"/>
      <w:marRight w:val="0"/>
      <w:marTop w:val="0"/>
      <w:marBottom w:val="0"/>
      <w:divBdr>
        <w:top w:val="none" w:sz="0" w:space="0" w:color="auto"/>
        <w:left w:val="none" w:sz="0" w:space="0" w:color="auto"/>
        <w:bottom w:val="none" w:sz="0" w:space="0" w:color="auto"/>
        <w:right w:val="none" w:sz="0" w:space="0" w:color="auto"/>
      </w:divBdr>
    </w:div>
    <w:div w:id="1530528310">
      <w:bodyDiv w:val="1"/>
      <w:marLeft w:val="0"/>
      <w:marRight w:val="0"/>
      <w:marTop w:val="0"/>
      <w:marBottom w:val="0"/>
      <w:divBdr>
        <w:top w:val="none" w:sz="0" w:space="0" w:color="auto"/>
        <w:left w:val="none" w:sz="0" w:space="0" w:color="auto"/>
        <w:bottom w:val="none" w:sz="0" w:space="0" w:color="auto"/>
        <w:right w:val="none" w:sz="0" w:space="0" w:color="auto"/>
      </w:divBdr>
    </w:div>
    <w:div w:id="1539850282">
      <w:bodyDiv w:val="1"/>
      <w:marLeft w:val="0"/>
      <w:marRight w:val="0"/>
      <w:marTop w:val="0"/>
      <w:marBottom w:val="0"/>
      <w:divBdr>
        <w:top w:val="none" w:sz="0" w:space="0" w:color="auto"/>
        <w:left w:val="none" w:sz="0" w:space="0" w:color="auto"/>
        <w:bottom w:val="none" w:sz="0" w:space="0" w:color="auto"/>
        <w:right w:val="none" w:sz="0" w:space="0" w:color="auto"/>
      </w:divBdr>
    </w:div>
    <w:div w:id="1584028942">
      <w:bodyDiv w:val="1"/>
      <w:marLeft w:val="0"/>
      <w:marRight w:val="0"/>
      <w:marTop w:val="0"/>
      <w:marBottom w:val="0"/>
      <w:divBdr>
        <w:top w:val="none" w:sz="0" w:space="0" w:color="auto"/>
        <w:left w:val="none" w:sz="0" w:space="0" w:color="auto"/>
        <w:bottom w:val="none" w:sz="0" w:space="0" w:color="auto"/>
        <w:right w:val="none" w:sz="0" w:space="0" w:color="auto"/>
      </w:divBdr>
      <w:divsChild>
        <w:div w:id="332731833">
          <w:marLeft w:val="547"/>
          <w:marRight w:val="0"/>
          <w:marTop w:val="0"/>
          <w:marBottom w:val="0"/>
          <w:divBdr>
            <w:top w:val="none" w:sz="0" w:space="0" w:color="auto"/>
            <w:left w:val="none" w:sz="0" w:space="0" w:color="auto"/>
            <w:bottom w:val="none" w:sz="0" w:space="0" w:color="auto"/>
            <w:right w:val="none" w:sz="0" w:space="0" w:color="auto"/>
          </w:divBdr>
        </w:div>
      </w:divsChild>
    </w:div>
    <w:div w:id="1850632932">
      <w:bodyDiv w:val="1"/>
      <w:marLeft w:val="0"/>
      <w:marRight w:val="0"/>
      <w:marTop w:val="0"/>
      <w:marBottom w:val="0"/>
      <w:divBdr>
        <w:top w:val="none" w:sz="0" w:space="0" w:color="auto"/>
        <w:left w:val="none" w:sz="0" w:space="0" w:color="auto"/>
        <w:bottom w:val="none" w:sz="0" w:space="0" w:color="auto"/>
        <w:right w:val="none" w:sz="0" w:space="0" w:color="auto"/>
      </w:divBdr>
    </w:div>
    <w:div w:id="1851796578">
      <w:bodyDiv w:val="1"/>
      <w:marLeft w:val="0"/>
      <w:marRight w:val="0"/>
      <w:marTop w:val="0"/>
      <w:marBottom w:val="0"/>
      <w:divBdr>
        <w:top w:val="none" w:sz="0" w:space="0" w:color="auto"/>
        <w:left w:val="none" w:sz="0" w:space="0" w:color="auto"/>
        <w:bottom w:val="none" w:sz="0" w:space="0" w:color="auto"/>
        <w:right w:val="none" w:sz="0" w:space="0" w:color="auto"/>
      </w:divBdr>
    </w:div>
    <w:div w:id="1915162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llik01\Documents\Custom%20Office%20Templates\SB%20General%20-%20Portrait%20-%20BW.dotx" TargetMode="External"/></Relationships>
</file>

<file path=word/theme/theme1.xml><?xml version="1.0" encoding="utf-8"?>
<a:theme xmlns:a="http://schemas.openxmlformats.org/drawingml/2006/main" name="Office Theme">
  <a:themeElements>
    <a:clrScheme name="SACE">
      <a:dk1>
        <a:sysClr val="windowText" lastClr="000000"/>
      </a:dk1>
      <a:lt1>
        <a:sysClr val="window" lastClr="FFFFFF"/>
      </a:lt1>
      <a:dk2>
        <a:srgbClr val="000000"/>
      </a:dk2>
      <a:lt2>
        <a:srgbClr val="FFFFFF"/>
      </a:lt2>
      <a:accent1>
        <a:srgbClr val="FF6319"/>
      </a:accent1>
      <a:accent2>
        <a:srgbClr val="565A5C"/>
      </a:accent2>
      <a:accent3>
        <a:srgbClr val="7AB800"/>
      </a:accent3>
      <a:accent4>
        <a:srgbClr val="00ADD0"/>
      </a:accent4>
      <a:accent5>
        <a:srgbClr val="DCDEDE"/>
      </a:accent5>
      <a:accent6>
        <a:srgbClr val="00819C"/>
      </a:accent6>
      <a:hlink>
        <a:srgbClr val="0000FF"/>
      </a:hlink>
      <a:folHlink>
        <a:srgbClr val="7030A0"/>
      </a:folHlink>
    </a:clrScheme>
    <a:fontScheme name="Sace">
      <a:majorFont>
        <a:latin typeface="Roboto Light"/>
        <a:ea typeface=""/>
        <a:cs typeface=""/>
      </a:majorFont>
      <a:minorFont>
        <a:latin typeface="Roboto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etadata xmlns="http://www.objective.com/ecm/document/metadata/CB029ECD6D85427BAD5E1D35DE4A29A4" version="1.0.0">
  <systemFields>
    <field name="Objective-Id">
      <value order="0">A1695753</value>
    </field>
    <field name="Objective-Title">
      <value order="0">2025 Mathematical Methods Subject Assessment Advice</value>
    </field>
    <field name="Objective-Description">
      <value order="0"/>
    </field>
    <field name="Objective-CreationStamp">
      <value order="0">2026-01-05T22:52:19Z</value>
    </field>
    <field name="Objective-IsApproved">
      <value order="0">false</value>
    </field>
    <field name="Objective-IsPublished">
      <value order="0">false</value>
    </field>
    <field name="Objective-DatePublished">
      <value order="0"/>
    </field>
    <field name="Objective-ModificationStamp">
      <value order="0">2026-01-23T00:48:07Z</value>
    </field>
    <field name="Objective-Owner">
      <value order="0">Haylie Carr</value>
    </field>
    <field name="Objective-Path">
      <value order="0">Objective Global Folder:Quality Assurance Cycle:Stage 2 - 4. Improving:Subject Assessment Advice:2025 Subject Assessment Advice:Step 4: SAA Ready to be uploaded to the website (FINAL version here)</value>
    </field>
    <field name="Objective-Parent">
      <value order="0">Step 4: SAA Ready to be uploaded to the website (FINAL version here)</value>
    </field>
    <field name="Objective-State">
      <value order="0">Being Edited</value>
    </field>
    <field name="Objective-VersionId">
      <value order="0">vA2479731</value>
    </field>
    <field name="Objective-Version">
      <value order="0">11.1</value>
    </field>
    <field name="Objective-VersionNumber">
      <value order="0">12</value>
    </field>
    <field name="Objective-VersionComment">
      <value order="0"/>
    </field>
    <field name="Objective-FileNumber">
      <value order="0">qA22162</value>
    </field>
    <field name="Objective-Classification">
      <value order="0"/>
    </field>
    <field name="Objective-Caveats">
      <value order="0"/>
    </field>
  </systemFields>
  <catalogues>
    <catalogue name="Document Type Catalogue" type="type" ori="id:cA25">
      <field name="Objective-Security Classification">
        <value order="0">OFFICIAL</value>
      </field>
      <field name="Objective-Connect Creator">
        <value order="0"/>
      </field>
    </catalogue>
  </catalogues>
</metadat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13bbd5f-90a7-43b7-b1c5-339583c96db7">
      <Terms xmlns="http://schemas.microsoft.com/office/infopath/2007/PartnerControls"/>
    </lcf76f155ced4ddcb4097134ff3c332f>
    <TaxCatchAll xmlns="fb4dc4ba-ff99-4a12-902d-e211d6a52d31"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DBB10A7932EB534F8AEF78845ABA8758" ma:contentTypeVersion="19" ma:contentTypeDescription="Create a new document." ma:contentTypeScope="" ma:versionID="3280ce9b97e3dd75ae29915643e76551">
  <xsd:schema xmlns:xsd="http://www.w3.org/2001/XMLSchema" xmlns:xs="http://www.w3.org/2001/XMLSchema" xmlns:p="http://schemas.microsoft.com/office/2006/metadata/properties" xmlns:ns2="013bbd5f-90a7-43b7-b1c5-339583c96db7" xmlns:ns3="fb4dc4ba-ff99-4a12-902d-e211d6a52d31" targetNamespace="http://schemas.microsoft.com/office/2006/metadata/properties" ma:root="true" ma:fieldsID="3d4c83dbc24afbf0f906afc1e65286e3" ns2:_="" ns3:_="">
    <xsd:import namespace="013bbd5f-90a7-43b7-b1c5-339583c96db7"/>
    <xsd:import namespace="fb4dc4ba-ff99-4a12-902d-e211d6a52d3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bbd5f-90a7-43b7-b1c5-339583c96d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e6689ef-ec6c-48c7-abc7-2160df37b9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4dc4ba-ff99-4a12-902d-e211d6a52d3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53b84e8-1157-46df-a680-a53870d85022}" ma:internalName="TaxCatchAll" ma:showField="CatchAllData" ma:web="fb4dc4ba-ff99-4a12-902d-e211d6a52d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965F2C-B72E-4C7E-AAC8-5E436B056DE1}">
  <ds:schemaRefs>
    <ds:schemaRef ds:uri="http://schemas.openxmlformats.org/officeDocument/2006/bibliography"/>
  </ds:schemaRefs>
</ds:datastoreItem>
</file>

<file path=customXml/itemProps2.xml><?xml version="1.0" encoding="utf-8"?>
<ds:datastoreItem xmlns:ds="http://schemas.openxmlformats.org/officeDocument/2006/customXml" ds:itemID="{33293ECD-8A9F-4D02-BC1C-4A262BD806EA}">
  <ds:schemaRefs>
    <ds:schemaRef ds:uri="http://schemas.microsoft.com/sharepoint/v3/contenttype/forms"/>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CB029ECD6D85427BAD5E1D35DE4A29A4"/>
  </ds:schemaRefs>
</ds:datastoreItem>
</file>

<file path=customXml/itemProps4.xml><?xml version="1.0" encoding="utf-8"?>
<ds:datastoreItem xmlns:ds="http://schemas.openxmlformats.org/officeDocument/2006/customXml" ds:itemID="{2F6D3300-BB9B-42EF-85C0-EE384E4194F7}">
  <ds:schemaRefs>
    <ds:schemaRef ds:uri="http://www.w3.org/XML/1998/namespace"/>
    <ds:schemaRef ds:uri="http://purl.org/dc/elements/1.1/"/>
    <ds:schemaRef ds:uri="http://purl.org/dc/terms/"/>
    <ds:schemaRef ds:uri="fb4dc4ba-ff99-4a12-902d-e211d6a52d31"/>
    <ds:schemaRef ds:uri="013bbd5f-90a7-43b7-b1c5-339583c96db7"/>
    <ds:schemaRef ds:uri="http://schemas.microsoft.com/office/2006/documentManagement/types"/>
    <ds:schemaRef ds:uri="http://purl.org/dc/dcmitype/"/>
    <ds:schemaRef ds:uri="http://schemas.openxmlformats.org/package/2006/metadata/core-propertie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0C2BC3DE-883C-488B-841E-3088403A04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bbd5f-90a7-43b7-b1c5-339583c96db7"/>
    <ds:schemaRef ds:uri="fb4dc4ba-ff99-4a12-902d-e211d6a52d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274858-3b1d-4431-8679-d878f40e28fd}" enabled="1" method="Privileged" siteId="{bda528f7-fca9-432f-bc98-bd7e90d40906}" removed="0"/>
</clbl:labelList>
</file>

<file path=docProps/app.xml><?xml version="1.0" encoding="utf-8"?>
<Properties xmlns="http://schemas.openxmlformats.org/officeDocument/2006/extended-properties" xmlns:vt="http://schemas.openxmlformats.org/officeDocument/2006/docPropsVTypes">
  <Template>SB General - Portrait - BW.dotx</Template>
  <TotalTime>0</TotalTime>
  <Pages>14</Pages>
  <Words>7063</Words>
  <Characters>40261</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Mathematical Methods Subject Assessment Advice</dc:title>
  <dc:creator>Comment</dc:creator>
  <cp:lastModifiedBy>Bosnakis, Anthony (SACE)</cp:lastModifiedBy>
  <cp:revision>2</cp:revision>
  <cp:lastPrinted>2014-02-02T12:10:00Z</cp:lastPrinted>
  <dcterms:created xsi:type="dcterms:W3CDTF">2026-09-21T00:23:00Z</dcterms:created>
  <dcterms:modified xsi:type="dcterms:W3CDTF">2026-09-21T00:23:00Z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eepMarginsTheSame">
    <vt:bool>true</vt:bool>
  </property>
  <property fmtid="{D5CDD505-2E9C-101B-9397-08002B2CF9AE}" pid="3" name="ShowGlobal">
    <vt:bool>true</vt:bool>
  </property>
  <property fmtid="{D5CDD505-2E9C-101B-9397-08002B2CF9AE}" pid="4" name="Objective-Comment">
    <vt:lpwstr/>
  </property>
  <property fmtid="{D5CDD505-2E9C-101B-9397-08002B2CF9AE}" pid="5" name="MSIP_Label_77274858-3b1d-4431-8679-d878f40e28fd_Enabled">
    <vt:lpwstr>true</vt:lpwstr>
  </property>
  <property fmtid="{D5CDD505-2E9C-101B-9397-08002B2CF9AE}" pid="6" name="MSIP_Label_77274858-3b1d-4431-8679-d878f40e28fd_SetDate">
    <vt:lpwstr>2022-11-09T05:40:05Z</vt:lpwstr>
  </property>
  <property fmtid="{D5CDD505-2E9C-101B-9397-08002B2CF9AE}" pid="7" name="MSIP_Label_77274858-3b1d-4431-8679-d878f40e28fd_Method">
    <vt:lpwstr>Privileged</vt:lpwstr>
  </property>
  <property fmtid="{D5CDD505-2E9C-101B-9397-08002B2CF9AE}" pid="8" name="MSIP_Label_77274858-3b1d-4431-8679-d878f40e28fd_Name">
    <vt:lpwstr>-Official</vt:lpwstr>
  </property>
  <property fmtid="{D5CDD505-2E9C-101B-9397-08002B2CF9AE}" pid="9" name="MSIP_Label_77274858-3b1d-4431-8679-d878f40e28fd_SiteId">
    <vt:lpwstr>bda528f7-fca9-432f-bc98-bd7e90d40906</vt:lpwstr>
  </property>
  <property fmtid="{D5CDD505-2E9C-101B-9397-08002B2CF9AE}" pid="10" name="MSIP_Label_77274858-3b1d-4431-8679-d878f40e28fd_ActionId">
    <vt:lpwstr>b9096d67-b5e5-4808-ab1e-c0e1a59a79ca</vt:lpwstr>
  </property>
  <property fmtid="{D5CDD505-2E9C-101B-9397-08002B2CF9AE}" pid="11" name="MSIP_Label_77274858-3b1d-4431-8679-d878f40e28fd_ContentBits">
    <vt:lpwstr>1</vt:lpwstr>
  </property>
  <property fmtid="{D5CDD505-2E9C-101B-9397-08002B2CF9AE}" pid="12" name="Customer-Id">
    <vt:lpwstr>CB029ECD6D85427BAD5E1D35DE4A29A4</vt:lpwstr>
  </property>
  <property fmtid="{D5CDD505-2E9C-101B-9397-08002B2CF9AE}" pid="13" name="Objective-Id">
    <vt:lpwstr>A1695753</vt:lpwstr>
  </property>
  <property fmtid="{D5CDD505-2E9C-101B-9397-08002B2CF9AE}" pid="14" name="Objective-Title">
    <vt:lpwstr>2025 Mathematical Methods Subject Assessment Advice</vt:lpwstr>
  </property>
  <property fmtid="{D5CDD505-2E9C-101B-9397-08002B2CF9AE}" pid="15" name="Objective-Description">
    <vt:lpwstr/>
  </property>
  <property fmtid="{D5CDD505-2E9C-101B-9397-08002B2CF9AE}" pid="16" name="Objective-CreationStamp">
    <vt:filetime>2026-01-05T22:52:19Z</vt:filetime>
  </property>
  <property fmtid="{D5CDD505-2E9C-101B-9397-08002B2CF9AE}" pid="17" name="Objective-IsApproved">
    <vt:bool>false</vt:bool>
  </property>
  <property fmtid="{D5CDD505-2E9C-101B-9397-08002B2CF9AE}" pid="18" name="Objective-IsPublished">
    <vt:bool>false</vt:bool>
  </property>
  <property fmtid="{D5CDD505-2E9C-101B-9397-08002B2CF9AE}" pid="19" name="Objective-DatePublished">
    <vt:lpwstr/>
  </property>
  <property fmtid="{D5CDD505-2E9C-101B-9397-08002B2CF9AE}" pid="20" name="Objective-ModificationStamp">
    <vt:filetime>2026-01-23T00:48:07Z</vt:filetime>
  </property>
  <property fmtid="{D5CDD505-2E9C-101B-9397-08002B2CF9AE}" pid="21" name="Objective-Owner">
    <vt:lpwstr>Haylie Carr</vt:lpwstr>
  </property>
  <property fmtid="{D5CDD505-2E9C-101B-9397-08002B2CF9AE}" pid="22" name="Objective-Path">
    <vt:lpwstr>Objective Global Folder:Quality Assurance Cycle:Stage 2 - 4. Improving:Subject Assessment Advice:2025 Subject Assessment Advice:Step 4: SAA Ready to be uploaded to the website (FINAL version here)</vt:lpwstr>
  </property>
  <property fmtid="{D5CDD505-2E9C-101B-9397-08002B2CF9AE}" pid="23" name="Objective-Parent">
    <vt:lpwstr>Step 4: SAA Ready to be uploaded to the website (FINAL version here)</vt:lpwstr>
  </property>
  <property fmtid="{D5CDD505-2E9C-101B-9397-08002B2CF9AE}" pid="24" name="Objective-State">
    <vt:lpwstr>Being Edited</vt:lpwstr>
  </property>
  <property fmtid="{D5CDD505-2E9C-101B-9397-08002B2CF9AE}" pid="25" name="Objective-VersionId">
    <vt:lpwstr>vA2479731</vt:lpwstr>
  </property>
  <property fmtid="{D5CDD505-2E9C-101B-9397-08002B2CF9AE}" pid="26" name="Objective-Version">
    <vt:lpwstr>11.1</vt:lpwstr>
  </property>
  <property fmtid="{D5CDD505-2E9C-101B-9397-08002B2CF9AE}" pid="27" name="Objective-VersionNumber">
    <vt:r8>12</vt:r8>
  </property>
  <property fmtid="{D5CDD505-2E9C-101B-9397-08002B2CF9AE}" pid="28" name="Objective-VersionComment">
    <vt:lpwstr/>
  </property>
  <property fmtid="{D5CDD505-2E9C-101B-9397-08002B2CF9AE}" pid="29" name="Objective-FileNumber">
    <vt:lpwstr>qA22162</vt:lpwstr>
  </property>
  <property fmtid="{D5CDD505-2E9C-101B-9397-08002B2CF9AE}" pid="30" name="Objective-Classification">
    <vt:lpwstr/>
  </property>
  <property fmtid="{D5CDD505-2E9C-101B-9397-08002B2CF9AE}" pid="31" name="Objective-Caveats">
    <vt:lpwstr/>
  </property>
  <property fmtid="{D5CDD505-2E9C-101B-9397-08002B2CF9AE}" pid="32" name="Objective-Security Classification">
    <vt:lpwstr>OFFICIAL</vt:lpwstr>
  </property>
  <property fmtid="{D5CDD505-2E9C-101B-9397-08002B2CF9AE}" pid="33" name="Objective-Connect Creator">
    <vt:lpwstr/>
  </property>
  <property fmtid="{D5CDD505-2E9C-101B-9397-08002B2CF9AE}" pid="34" name="ContentTypeId">
    <vt:lpwstr>0x010100DBB10A7932EB534F8AEF78845ABA8758</vt:lpwstr>
  </property>
  <property fmtid="{D5CDD505-2E9C-101B-9397-08002B2CF9AE}" pid="35" name="Order">
    <vt:r8>100</vt:r8>
  </property>
  <property fmtid="{D5CDD505-2E9C-101B-9397-08002B2CF9AE}" pid="36" name="_ExtendedDescription">
    <vt:lpwstr/>
  </property>
</Properties>
</file>