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494258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244AF2">
        <w:t>Integrated Learning</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3B011D">
      <w:pPr>
        <w:numPr>
          <w:ilvl w:val="0"/>
          <w:numId w:val="0"/>
        </w:numPr>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8C6417">
      <w:p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6691A823" w:rsidR="00B30663" w:rsidRPr="00B30663" w:rsidRDefault="00B30663" w:rsidP="00B30663">
      <w:pPr>
        <w:pStyle w:val="ContentBold"/>
      </w:pPr>
      <w:r w:rsidRPr="00B30663">
        <w:t>Teachers can improve the moderation and online process</w:t>
      </w:r>
      <w:r w:rsidR="00BC1688">
        <w:t>es</w:t>
      </w:r>
      <w:r w:rsidRPr="00B30663">
        <w:t xml:space="preserve"> by:</w:t>
      </w:r>
    </w:p>
    <w:p w14:paraId="62313461" w14:textId="36846FC1" w:rsidR="00244AF2" w:rsidRDefault="00244AF2" w:rsidP="001D0BE1">
      <w:pPr>
        <w:pStyle w:val="SAABullets"/>
      </w:pPr>
      <w:r>
        <w:t>thoroughly checking that all grades entered in school</w:t>
      </w:r>
      <w:r w:rsidR="00604F0D">
        <w:t>s</w:t>
      </w:r>
      <w:r>
        <w:t xml:space="preserve"> online are correct</w:t>
      </w:r>
    </w:p>
    <w:p w14:paraId="5DFEDF9A" w14:textId="5FD9C0DC" w:rsidR="00137555" w:rsidRDefault="00137555" w:rsidP="00BF28FD">
      <w:pPr>
        <w:pStyle w:val="SAABullets"/>
      </w:pPr>
      <w:r>
        <w:t>ensuring there is evidence of clear differentiation between grade bands when providing class results</w:t>
      </w:r>
    </w:p>
    <w:p w14:paraId="14B35FCE" w14:textId="29E4E3E3" w:rsidR="00244AF2" w:rsidRDefault="00244AF2" w:rsidP="00BF28FD">
      <w:pPr>
        <w:pStyle w:val="SAABullets"/>
      </w:pPr>
      <w:r>
        <w:t xml:space="preserve">ensuring </w:t>
      </w:r>
      <w:r w:rsidR="00847191">
        <w:t xml:space="preserve">scanned and </w:t>
      </w:r>
      <w:r>
        <w:t xml:space="preserve">uploaded tasks are legible, </w:t>
      </w:r>
      <w:r w:rsidR="00137555">
        <w:t>orientated correctly</w:t>
      </w:r>
      <w:r>
        <w:t xml:space="preserve">, and </w:t>
      </w:r>
      <w:r w:rsidR="00137555">
        <w:t>with</w:t>
      </w:r>
      <w:r>
        <w:t xml:space="preserve"> blank pages, student notes and formula pages</w:t>
      </w:r>
      <w:r w:rsidR="00137555">
        <w:t xml:space="preserve"> removed</w:t>
      </w:r>
    </w:p>
    <w:p w14:paraId="406F3143" w14:textId="15AA34E1" w:rsidR="00244AF2" w:rsidRDefault="00244AF2" w:rsidP="001D0BE1">
      <w:pPr>
        <w:pStyle w:val="SAABullets"/>
      </w:pPr>
      <w:r>
        <w:t xml:space="preserve">ensuring </w:t>
      </w:r>
      <w:r w:rsidR="00847191">
        <w:t xml:space="preserve">scanned and </w:t>
      </w:r>
      <w:r>
        <w:t xml:space="preserve">uploaded </w:t>
      </w:r>
      <w:r w:rsidR="00847191">
        <w:t>tasks</w:t>
      </w:r>
      <w:r>
        <w:t xml:space="preserve"> have pages </w:t>
      </w:r>
      <w:r w:rsidR="00137555">
        <w:t xml:space="preserve">of </w:t>
      </w:r>
      <w:r>
        <w:t>the same size</w:t>
      </w:r>
      <w:r w:rsidR="00137555">
        <w:t>,</w:t>
      </w:r>
      <w:r>
        <w:t xml:space="preserve"> and </w:t>
      </w:r>
      <w:r w:rsidR="00137555">
        <w:t xml:space="preserve">are </w:t>
      </w:r>
      <w:r>
        <w:t>in colour</w:t>
      </w:r>
    </w:p>
    <w:p w14:paraId="0F20DD24" w14:textId="5EE4E3DA" w:rsidR="00892068" w:rsidRDefault="00244AF2" w:rsidP="001D0BE1">
      <w:pPr>
        <w:pStyle w:val="SAABullets"/>
      </w:pPr>
      <w:r>
        <w:t xml:space="preserve">ensuring any audio/video are of </w:t>
      </w:r>
      <w:r w:rsidR="00847191">
        <w:t xml:space="preserve">sufficient sound </w:t>
      </w:r>
      <w:r>
        <w:t>quality and</w:t>
      </w:r>
      <w:r w:rsidR="00847191">
        <w:t>/or resolution, to be listened to/viewed by a moderator</w:t>
      </w:r>
    </w:p>
    <w:p w14:paraId="04C19F80" w14:textId="2DD0FB78" w:rsidR="00244AF2" w:rsidRDefault="00892068" w:rsidP="001D0BE1">
      <w:pPr>
        <w:pStyle w:val="SAABullets"/>
      </w:pPr>
      <w:r>
        <w:t>ensuring any audio/video</w:t>
      </w:r>
      <w:r w:rsidR="00322835">
        <w:t xml:space="preserve"> submitted for moderation </w:t>
      </w:r>
      <w:r w:rsidR="00847191">
        <w:t>are within the maximum duration requirements specified in the subject outline</w:t>
      </w:r>
      <w:r w:rsidR="008C6417">
        <w:t xml:space="preserve"> </w:t>
      </w:r>
      <w:r>
        <w:t xml:space="preserve"> </w:t>
      </w:r>
      <w:r w:rsidR="007874E3">
        <w:t xml:space="preserve"> </w:t>
      </w:r>
    </w:p>
    <w:p w14:paraId="1310A1E8" w14:textId="67C5F1B4" w:rsidR="00244AF2" w:rsidRDefault="00244AF2" w:rsidP="001D0BE1">
      <w:pPr>
        <w:pStyle w:val="SAABullets"/>
      </w:pPr>
      <w:r>
        <w:t xml:space="preserve">ensuring when multiple assessment types </w:t>
      </w:r>
      <w:r w:rsidR="00847191">
        <w:t xml:space="preserve">are combined </w:t>
      </w:r>
      <w:r>
        <w:t xml:space="preserve">into an integrated package, </w:t>
      </w:r>
      <w:r w:rsidR="00847191">
        <w:t xml:space="preserve">individual tasks are indicated on the </w:t>
      </w:r>
      <w:r>
        <w:t>LAP, attached within the teacher materials section. This ensures that the correct number of individual tasks represented in the evidence for each assessment type is submitted</w:t>
      </w:r>
    </w:p>
    <w:p w14:paraId="002001CC" w14:textId="268EE409" w:rsidR="00244AF2" w:rsidRDefault="00244AF2" w:rsidP="001D0BE1">
      <w:pPr>
        <w:pStyle w:val="SAABullets"/>
      </w:pPr>
      <w:r>
        <w:t xml:space="preserve">ensuring </w:t>
      </w:r>
      <w:r w:rsidR="00847191">
        <w:t xml:space="preserve">5-6 assessment tasks are submitted </w:t>
      </w:r>
      <w:r>
        <w:t xml:space="preserve">for </w:t>
      </w:r>
      <w:r w:rsidR="00847191">
        <w:t xml:space="preserve">a </w:t>
      </w:r>
      <w:r>
        <w:t>20</w:t>
      </w:r>
      <w:r w:rsidR="00847191">
        <w:t>-</w:t>
      </w:r>
      <w:r>
        <w:t xml:space="preserve">credit </w:t>
      </w:r>
      <w:bookmarkStart w:id="1" w:name="_Hlk157752784"/>
      <w:r>
        <w:t>Integrated Learning</w:t>
      </w:r>
      <w:r w:rsidR="00847191">
        <w:t xml:space="preserve"> course, comprised of the correct combination of assessment types</w:t>
      </w:r>
      <w:bookmarkEnd w:id="1"/>
    </w:p>
    <w:p w14:paraId="66F1B1A5" w14:textId="4C58CAEE" w:rsidR="00244AF2" w:rsidRDefault="00847191" w:rsidP="00847191">
      <w:pPr>
        <w:pStyle w:val="SAABullets"/>
      </w:pPr>
      <w:r>
        <w:t>ensuring 3-4 assessment tasks are submitted for a 10-credit Integrated Learning course, comprised of the correct combination of assessment types</w:t>
      </w:r>
      <w:r w:rsidR="0008645E">
        <w:t>.</w:t>
      </w:r>
    </w:p>
    <w:p w14:paraId="5D1255C3" w14:textId="77777777" w:rsidR="005556DD" w:rsidRPr="005556DD" w:rsidRDefault="005556DD" w:rsidP="001D0BE1">
      <w:pPr>
        <w:pStyle w:val="SAAHeading2"/>
      </w:pPr>
      <w:r w:rsidRPr="005556DD">
        <w:t>Assessment Type 1: Practical Inquiry (40%)</w:t>
      </w:r>
    </w:p>
    <w:p w14:paraId="1EB0BA82" w14:textId="56621F32" w:rsidR="00244AF2" w:rsidRDefault="00244AF2" w:rsidP="001D0BE1">
      <w:pPr>
        <w:pStyle w:val="SAABodytext"/>
      </w:pPr>
      <w:r>
        <w:t xml:space="preserve">Practical inquiry tasks are an opportunity for students to demonstrate practical application and development of knowledge, </w:t>
      </w:r>
      <w:r w:rsidR="00847191">
        <w:t xml:space="preserve">skills </w:t>
      </w:r>
      <w:r>
        <w:t xml:space="preserve">and </w:t>
      </w:r>
      <w:r w:rsidR="00847191">
        <w:t xml:space="preserve">concepts </w:t>
      </w:r>
      <w:r>
        <w:t xml:space="preserve">related to the program focus. A diverse range of both practical and creative tasks are completed by students, who then evaluate their learning referring to the development of a chosen SACE capability/capabilities. The subject outline requires </w:t>
      </w:r>
      <w:r>
        <w:rPr>
          <w:u w:val="single"/>
        </w:rPr>
        <w:t xml:space="preserve">that at least one practical </w:t>
      </w:r>
      <w:r>
        <w:t xml:space="preserve">inquiry task should include a discussion as a form of evidence. </w:t>
      </w:r>
    </w:p>
    <w:p w14:paraId="42A06B26" w14:textId="77777777" w:rsidR="00244AF2" w:rsidRDefault="00244AF2" w:rsidP="001D0BE1">
      <w:pPr>
        <w:pStyle w:val="SAABodytext"/>
        <w:rPr>
          <w:i/>
        </w:rPr>
      </w:pPr>
      <w:r>
        <w:t>Teachers can elicit more successful responses by:</w:t>
      </w:r>
    </w:p>
    <w:p w14:paraId="26D37795" w14:textId="0D4852D5" w:rsidR="003B011D" w:rsidRDefault="003B011D" w:rsidP="001D0BE1">
      <w:pPr>
        <w:pStyle w:val="SAABullets"/>
      </w:pPr>
      <w:r>
        <w:t>c</w:t>
      </w:r>
      <w:r w:rsidRPr="003B011D">
        <w:t xml:space="preserve">reating a central discussion point or question, linked to the learning focus, </w:t>
      </w:r>
      <w:r w:rsidR="00992ADF" w:rsidRPr="003B011D">
        <w:t>which</w:t>
      </w:r>
      <w:r w:rsidRPr="003B011D">
        <w:t xml:space="preserve"> is </w:t>
      </w:r>
      <w:r w:rsidR="009D6E0E">
        <w:t>regularly</w:t>
      </w:r>
      <w:r w:rsidRPr="003B011D">
        <w:t xml:space="preserve"> revisited throughout practical tasks and activities. Students can then directly address this question in their reflections at the conclusion of their learning experiences</w:t>
      </w:r>
    </w:p>
    <w:p w14:paraId="41C9FD23" w14:textId="44097B1B" w:rsidR="003B011D" w:rsidRDefault="003B011D" w:rsidP="00604F0D">
      <w:pPr>
        <w:pStyle w:val="SAABullets"/>
      </w:pPr>
      <w:r>
        <w:lastRenderedPageBreak/>
        <w:t>c</w:t>
      </w:r>
      <w:r w:rsidRPr="003B011D">
        <w:t xml:space="preserve">ollaboratively designing meaningful practical inquiry tasks that align with student interests and skills, </w:t>
      </w:r>
      <w:r w:rsidR="009D6E0E">
        <w:t xml:space="preserve">which </w:t>
      </w:r>
      <w:r w:rsidRPr="003B011D">
        <w:t xml:space="preserve">foster the development of capabilities for future learning and providing opportunities for students to leverage and </w:t>
      </w:r>
      <w:r w:rsidR="009D6E0E">
        <w:t>demonstrate</w:t>
      </w:r>
      <w:r w:rsidRPr="003B011D">
        <w:t xml:space="preserve"> their individual strengths</w:t>
      </w:r>
    </w:p>
    <w:p w14:paraId="1BEEDBAF" w14:textId="034055C3" w:rsidR="003B011D" w:rsidRPr="003B011D" w:rsidRDefault="003B011D" w:rsidP="00604F0D">
      <w:pPr>
        <w:pStyle w:val="SAABullets"/>
      </w:pPr>
      <w:r>
        <w:t>e</w:t>
      </w:r>
      <w:r w:rsidRPr="003B011D">
        <w:t xml:space="preserve">nsuring practical inquiry offers </w:t>
      </w:r>
      <w:r w:rsidR="009D6E0E">
        <w:t xml:space="preserve">opportunities </w:t>
      </w:r>
      <w:r w:rsidRPr="003B011D">
        <w:t>for students to both provide and receive feedback, engage in self-assessment, and reflect deeply upon their skill development.</w:t>
      </w:r>
    </w:p>
    <w:p w14:paraId="0D138177" w14:textId="77777777" w:rsidR="00244AF2" w:rsidRPr="00604F0D" w:rsidRDefault="00244AF2" w:rsidP="00604F0D">
      <w:pPr>
        <w:pStyle w:val="SAAMoreLess"/>
      </w:pPr>
      <w:r w:rsidRPr="00604F0D">
        <w:t>The more successful responses commonly:</w:t>
      </w:r>
    </w:p>
    <w:p w14:paraId="2D3F1FB4" w14:textId="6FD3A568" w:rsidR="003E6174" w:rsidRPr="003E6174" w:rsidRDefault="003E6174" w:rsidP="00604F0D">
      <w:pPr>
        <w:pStyle w:val="SAABullets"/>
        <w:rPr>
          <w:i/>
          <w:iCs/>
        </w:rPr>
      </w:pPr>
      <w:r>
        <w:t>i</w:t>
      </w:r>
      <w:r w:rsidRPr="003E6174">
        <w:t xml:space="preserve">ncorporated a range of </w:t>
      </w:r>
      <w:r w:rsidR="009D6E0E">
        <w:t xml:space="preserve">both </w:t>
      </w:r>
      <w:r w:rsidRPr="003E6174">
        <w:t>primary and secondary evidence, either embedded within tasks as annotated figures or sources, or included as appendices. This evidence was then critically reflected upon and analysed within the assessment</w:t>
      </w:r>
    </w:p>
    <w:p w14:paraId="69B005D1" w14:textId="5E43F490" w:rsidR="003E6174" w:rsidRPr="003E6174" w:rsidRDefault="003E6174" w:rsidP="00604F0D">
      <w:pPr>
        <w:pStyle w:val="SAABullets"/>
        <w:rPr>
          <w:i/>
          <w:iCs/>
        </w:rPr>
      </w:pPr>
      <w:r>
        <w:t>m</w:t>
      </w:r>
      <w:r w:rsidRPr="003E6174">
        <w:t>ade strong and explicit links to the program focus, demonstrating clear articulation of skills developed for a defined purpose, and closely connecting to curriculum expectations and capability development</w:t>
      </w:r>
    </w:p>
    <w:p w14:paraId="20DC236E" w14:textId="0A90004A" w:rsidR="003E6174" w:rsidRPr="003E6174" w:rsidRDefault="003E6174" w:rsidP="00604F0D">
      <w:pPr>
        <w:pStyle w:val="SAABullets"/>
        <w:rPr>
          <w:i/>
          <w:iCs/>
        </w:rPr>
      </w:pPr>
      <w:r>
        <w:t>p</w:t>
      </w:r>
      <w:r w:rsidRPr="003E6174">
        <w:t>resented multimodal work that was carefully annotated and</w:t>
      </w:r>
      <w:r w:rsidR="009D6E0E">
        <w:t>/or</w:t>
      </w:r>
      <w:r w:rsidRPr="003E6174">
        <w:t xml:space="preserve"> explained, offering detail on the learning and connections that took place</w:t>
      </w:r>
    </w:p>
    <w:p w14:paraId="3847FA25" w14:textId="1BA5149D" w:rsidR="003E6174" w:rsidRPr="003E6174" w:rsidRDefault="003E6174" w:rsidP="00604F0D">
      <w:pPr>
        <w:pStyle w:val="SAABullets"/>
        <w:rPr>
          <w:i/>
          <w:iCs/>
        </w:rPr>
      </w:pPr>
      <w:r>
        <w:t>d</w:t>
      </w:r>
      <w:r w:rsidRPr="003E6174">
        <w:t xml:space="preserve">emonstrated </w:t>
      </w:r>
      <w:r w:rsidR="009D6E0E">
        <w:t>effective</w:t>
      </w:r>
      <w:r w:rsidRPr="003E6174">
        <w:t xml:space="preserve"> skill development and a strong ability to reflect on</w:t>
      </w:r>
      <w:r w:rsidR="009D6E0E">
        <w:t xml:space="preserve"> </w:t>
      </w:r>
      <w:r w:rsidRPr="003E6174">
        <w:t>and analyse</w:t>
      </w:r>
      <w:r w:rsidR="009D6E0E">
        <w:t xml:space="preserve"> </w:t>
      </w:r>
      <w:r w:rsidRPr="003E6174">
        <w:t>the skills they developed, supported by clear referencing to substantiate information</w:t>
      </w:r>
    </w:p>
    <w:p w14:paraId="3C542659" w14:textId="62E16F2F" w:rsidR="003E6174" w:rsidRPr="003E6174" w:rsidRDefault="003E6174" w:rsidP="00604F0D">
      <w:pPr>
        <w:pStyle w:val="SAABullets"/>
        <w:rPr>
          <w:i/>
          <w:iCs/>
        </w:rPr>
      </w:pPr>
      <w:r>
        <w:t>d</w:t>
      </w:r>
      <w:r w:rsidRPr="003E6174">
        <w:t>rew on a broad range of relevant sources to evidence in-depth inquiry and analysis, considering and discussing different perspectives when investigating concepts and knowledge</w:t>
      </w:r>
    </w:p>
    <w:p w14:paraId="034FF40F" w14:textId="27148D0D" w:rsidR="003E6174" w:rsidRPr="003E6174" w:rsidRDefault="003E6174" w:rsidP="00604F0D">
      <w:pPr>
        <w:pStyle w:val="SAABullets"/>
        <w:rPr>
          <w:i/>
          <w:iCs/>
        </w:rPr>
      </w:pPr>
      <w:r w:rsidRPr="003E6174">
        <w:t>made use of video discussions, allowing students to address and evidence their learning across multiple assessment tasks, supporting and enhancing student evidence</w:t>
      </w:r>
    </w:p>
    <w:p w14:paraId="2D52A11E" w14:textId="1D4B4F44" w:rsidR="003E6174" w:rsidRPr="003E6174" w:rsidRDefault="003E6174" w:rsidP="00604F0D">
      <w:pPr>
        <w:pStyle w:val="SAABullets"/>
        <w:rPr>
          <w:i/>
          <w:iCs/>
        </w:rPr>
      </w:pPr>
      <w:r>
        <w:t>e</w:t>
      </w:r>
      <w:r w:rsidRPr="003E6174">
        <w:t>valuated and responded to feedback from others to inform their self-assessment, considering a variety of perspectives when analysing concepts, ideas, and skill development</w:t>
      </w:r>
    </w:p>
    <w:p w14:paraId="55FBC22F" w14:textId="041694B0" w:rsidR="003E6174" w:rsidRPr="003E6174" w:rsidRDefault="003E6174" w:rsidP="00604F0D">
      <w:pPr>
        <w:pStyle w:val="SAABullets"/>
        <w:rPr>
          <w:i/>
          <w:iCs/>
        </w:rPr>
      </w:pPr>
      <w:r>
        <w:t>p</w:t>
      </w:r>
      <w:r w:rsidRPr="003E6174">
        <w:t>rovided a clear analysis of their findings and directly related these to the program focus or central discussion question, ensuring that each task contributed meaningfully to the overall assessment criteria.</w:t>
      </w:r>
    </w:p>
    <w:p w14:paraId="63D0BD18" w14:textId="77777777" w:rsidR="00244AF2" w:rsidRDefault="00244AF2" w:rsidP="00604F0D">
      <w:pPr>
        <w:pStyle w:val="SAAMoreLess"/>
      </w:pPr>
      <w:r>
        <w:t>The less successful responses commonly:</w:t>
      </w:r>
    </w:p>
    <w:p w14:paraId="22EBE988" w14:textId="1CA2B741" w:rsidR="00D14380" w:rsidRPr="00D14380" w:rsidRDefault="00D14380" w:rsidP="00604F0D">
      <w:pPr>
        <w:pStyle w:val="SAABullets"/>
        <w:rPr>
          <w:i/>
          <w:iCs/>
        </w:rPr>
      </w:pPr>
      <w:r>
        <w:t>p</w:t>
      </w:r>
      <w:r w:rsidRPr="00D14380">
        <w:t>resented basic recounts of events or activities, with minimal evidence of application, analysis, or meaningful self-assessment. Often, there was little real focus, and limited ability to analyse or reflect on the skills developed</w:t>
      </w:r>
    </w:p>
    <w:p w14:paraId="4F6AC652" w14:textId="00140F7C" w:rsidR="00D14380" w:rsidRPr="00D14380" w:rsidRDefault="00D14380" w:rsidP="00604F0D">
      <w:pPr>
        <w:pStyle w:val="SAABullets"/>
        <w:rPr>
          <w:i/>
          <w:iCs/>
        </w:rPr>
      </w:pPr>
      <w:r>
        <w:t>d</w:t>
      </w:r>
      <w:r w:rsidRPr="00D14380">
        <w:t>emonstrated only a surface-level understanding and minimal development of their chosen capability, often implying capability growth without directly addressing or evidencing it</w:t>
      </w:r>
    </w:p>
    <w:p w14:paraId="4E470F4E" w14:textId="5EDDDA7E" w:rsidR="00D14380" w:rsidRPr="00D14380" w:rsidRDefault="00D14380" w:rsidP="00604F0D">
      <w:pPr>
        <w:pStyle w:val="SAABullets"/>
        <w:rPr>
          <w:i/>
          <w:iCs/>
        </w:rPr>
      </w:pPr>
      <w:r>
        <w:t>i</w:t>
      </w:r>
      <w:r w:rsidRPr="00D14380">
        <w:t>ncluded feedback from others only as appendices (such as graphs or surveys) without any substantive discussion or reflection within the body of the assessment to inform self-assessment or future improvement</w:t>
      </w:r>
    </w:p>
    <w:p w14:paraId="1723032C" w14:textId="65B2D875" w:rsidR="00D14380" w:rsidRPr="00D14380" w:rsidRDefault="00D14380" w:rsidP="00604F0D">
      <w:pPr>
        <w:pStyle w:val="SAABullets"/>
        <w:rPr>
          <w:i/>
          <w:iCs/>
        </w:rPr>
      </w:pPr>
      <w:r>
        <w:t>p</w:t>
      </w:r>
      <w:r w:rsidRPr="00D14380">
        <w:t>rovided few examples of collaboration</w:t>
      </w:r>
      <w:r w:rsidR="003E038F">
        <w:t>. Where</w:t>
      </w:r>
      <w:r w:rsidRPr="00D14380">
        <w:t xml:space="preserve"> collaboration was referenced, it was not clearly explained or evidenced in the work</w:t>
      </w:r>
    </w:p>
    <w:p w14:paraId="353D6EAD" w14:textId="6505C0D8" w:rsidR="00D14380" w:rsidRPr="00D14380" w:rsidRDefault="00D14380" w:rsidP="00604F0D">
      <w:pPr>
        <w:pStyle w:val="SAABullets"/>
        <w:rPr>
          <w:i/>
          <w:iCs/>
        </w:rPr>
      </w:pPr>
      <w:r>
        <w:t>r</w:t>
      </w:r>
      <w:r w:rsidRPr="00D14380">
        <w:t xml:space="preserve">elied primarily on teacher feedback, such as checklists, rather than presenting authentic student evidence or reflecting on learning </w:t>
      </w:r>
      <w:r w:rsidR="003E038F">
        <w:t>from</w:t>
      </w:r>
      <w:r w:rsidRPr="00D14380">
        <w:t xml:space="preserve"> beyond classroom instruction</w:t>
      </w:r>
    </w:p>
    <w:p w14:paraId="10CBA576" w14:textId="541B3150" w:rsidR="00D14380" w:rsidRPr="00D14380" w:rsidRDefault="00D14380" w:rsidP="00604F0D">
      <w:pPr>
        <w:pStyle w:val="SAABullets"/>
        <w:rPr>
          <w:i/>
          <w:iCs/>
        </w:rPr>
      </w:pPr>
      <w:r>
        <w:t>f</w:t>
      </w:r>
      <w:r w:rsidRPr="00D14380">
        <w:t xml:space="preserve">requently exhibited a lack of primary or secondary evidence </w:t>
      </w:r>
      <w:r w:rsidR="007461AC">
        <w:t>which</w:t>
      </w:r>
      <w:r w:rsidRPr="00D14380">
        <w:t xml:space="preserve"> were often highly scaffolded</w:t>
      </w:r>
      <w:r w:rsidR="007461AC">
        <w:t>. This</w:t>
      </w:r>
      <w:r w:rsidRPr="00D14380">
        <w:t xml:space="preserve"> restricted students’ ability to exercise choice in selecting appropriate evidence or modes for their topic and skill set</w:t>
      </w:r>
    </w:p>
    <w:p w14:paraId="6F9765B3" w14:textId="67B29D5E" w:rsidR="00D14380" w:rsidRPr="00D14380" w:rsidRDefault="00D14380" w:rsidP="00604F0D">
      <w:pPr>
        <w:pStyle w:val="SAABullets"/>
        <w:rPr>
          <w:i/>
          <w:iCs/>
        </w:rPr>
      </w:pPr>
      <w:r>
        <w:t>s</w:t>
      </w:r>
      <w:r w:rsidRPr="00D14380">
        <w:t>uggested inquiry methods or diverse perspectives without clearly acknowledging or referencing them, which limited the depth and credibility of the investigation</w:t>
      </w:r>
    </w:p>
    <w:p w14:paraId="1C384C42" w14:textId="1ED18712" w:rsidR="00604F0D" w:rsidRPr="007461AC" w:rsidRDefault="00D14380" w:rsidP="007461AC">
      <w:pPr>
        <w:pStyle w:val="SAABullets"/>
        <w:rPr>
          <w:i/>
          <w:iCs/>
        </w:rPr>
      </w:pPr>
      <w:r>
        <w:t>d</w:t>
      </w:r>
      <w:r w:rsidRPr="00D14380">
        <w:t>id not include evidence of substantive discussions to support or enhance student evidence, particularly in relation to self-assessment, skills development, or the integration of capabilities.</w:t>
      </w:r>
    </w:p>
    <w:p w14:paraId="16D966A3" w14:textId="77777777" w:rsidR="00604F0D" w:rsidRDefault="00604F0D">
      <w:pPr>
        <w:numPr>
          <w:ilvl w:val="0"/>
          <w:numId w:val="0"/>
        </w:numPr>
        <w:rPr>
          <w:color w:val="000000" w:themeColor="text1"/>
        </w:rPr>
      </w:pPr>
      <w:r>
        <w:br w:type="page"/>
      </w:r>
    </w:p>
    <w:p w14:paraId="680D385F" w14:textId="7B710EE1" w:rsidR="00EF000A" w:rsidRDefault="00EF000A" w:rsidP="00604F0D">
      <w:pPr>
        <w:pStyle w:val="SAAHeading2"/>
      </w:pPr>
      <w:r w:rsidRPr="005556DD">
        <w:lastRenderedPageBreak/>
        <w:t xml:space="preserve">Assessment Type </w:t>
      </w:r>
      <w:r>
        <w:t>2</w:t>
      </w:r>
      <w:r w:rsidRPr="005556DD">
        <w:t xml:space="preserve">: </w:t>
      </w:r>
      <w:r>
        <w:t>Connection</w:t>
      </w:r>
      <w:r w:rsidRPr="005556DD">
        <w:t xml:space="preserve"> (</w:t>
      </w:r>
      <w:r w:rsidR="00B925CC">
        <w:t>3</w:t>
      </w:r>
      <w:r w:rsidRPr="005556DD">
        <w:t>0%)</w:t>
      </w:r>
    </w:p>
    <w:p w14:paraId="1CE3C592" w14:textId="7853E00D" w:rsidR="00244AF2" w:rsidRDefault="00244AF2" w:rsidP="00B925CC">
      <w:pPr>
        <w:numPr>
          <w:ilvl w:val="0"/>
          <w:numId w:val="0"/>
        </w:numPr>
      </w:pPr>
      <w:r>
        <w:t>For connections tasks, as outlined in the subject guidelines, students are directed to collaborate with peers to</w:t>
      </w:r>
      <w:r w:rsidR="00B925CC">
        <w:t xml:space="preserve"> </w:t>
      </w:r>
      <w:r>
        <w:t xml:space="preserve">engage in designated tasks or activities fostering connections between the program focus and the development of one or more capabilities. Individually, students pinpoint their contributions to the collaborative task, express their ideas and opinions, and subsequently assess their learning, incorporating feedback received from others. They specifically refer to the advancement of a </w:t>
      </w:r>
      <w:r w:rsidR="007461AC">
        <w:t>relevant</w:t>
      </w:r>
      <w:r>
        <w:t xml:space="preserve"> capability in their evaluation.</w:t>
      </w:r>
    </w:p>
    <w:p w14:paraId="4C27FDB5" w14:textId="77777777" w:rsidR="00244AF2" w:rsidRDefault="00244AF2" w:rsidP="007E7BFE">
      <w:r>
        <w:t>Teachers can elicit more successful responses by:</w:t>
      </w:r>
    </w:p>
    <w:p w14:paraId="299302E0" w14:textId="0DEB399C" w:rsidR="007E7BFE" w:rsidRPr="007E7BFE" w:rsidRDefault="00AF4531" w:rsidP="00604F0D">
      <w:pPr>
        <w:pStyle w:val="SAABullets"/>
      </w:pPr>
      <w:r>
        <w:t>m</w:t>
      </w:r>
      <w:r w:rsidR="007E7BFE" w:rsidRPr="007E7BFE">
        <w:t>aking insightful decisions when aligning specific features and performance standards required for the Connections assessment type with learning activities</w:t>
      </w:r>
    </w:p>
    <w:p w14:paraId="07E2067F" w14:textId="2AA3387A" w:rsidR="007E7BFE" w:rsidRPr="007E7BFE" w:rsidRDefault="00AF4531" w:rsidP="00604F0D">
      <w:pPr>
        <w:pStyle w:val="SAABullets"/>
        <w:rPr>
          <w:i/>
          <w:iCs/>
        </w:rPr>
      </w:pPr>
      <w:r>
        <w:t>e</w:t>
      </w:r>
      <w:r w:rsidR="007E7BFE" w:rsidRPr="007E7BFE">
        <w:t>xplicitly identifying and discussing opportunities for capability development during the negotiation and co-design phase of student collaborative activities.</w:t>
      </w:r>
    </w:p>
    <w:p w14:paraId="608C5BA2" w14:textId="77777777" w:rsidR="00244AF2" w:rsidRDefault="00244AF2" w:rsidP="00604F0D">
      <w:pPr>
        <w:pStyle w:val="SAAMoreLess"/>
      </w:pPr>
      <w:r>
        <w:t>The more successful responses commonly:</w:t>
      </w:r>
    </w:p>
    <w:p w14:paraId="0486F42A" w14:textId="63D49F42" w:rsidR="00AA7B43" w:rsidRPr="00AA7B43" w:rsidRDefault="00AA7B43" w:rsidP="00604F0D">
      <w:pPr>
        <w:pStyle w:val="SAABullets"/>
        <w:rPr>
          <w:i/>
          <w:iCs/>
        </w:rPr>
      </w:pPr>
      <w:r>
        <w:t>e</w:t>
      </w:r>
      <w:r w:rsidRPr="00AA7B43">
        <w:t>ngaged in dynamic and diverse tasks, providing opportunities for authentic, sustained, and productive collaboration</w:t>
      </w:r>
    </w:p>
    <w:p w14:paraId="4851A9B4" w14:textId="6EEE9053" w:rsidR="00AA7B43" w:rsidRPr="00AA7B43" w:rsidRDefault="00AA7B43" w:rsidP="00604F0D">
      <w:pPr>
        <w:pStyle w:val="SAABullets"/>
        <w:rPr>
          <w:i/>
          <w:iCs/>
        </w:rPr>
      </w:pPr>
      <w:r>
        <w:t>d</w:t>
      </w:r>
      <w:r w:rsidRPr="00AA7B43">
        <w:t>emonstrated explicit and transparent evidence of collaboration, including specific examples that clearly identified individual contributions to the activity or group outcome</w:t>
      </w:r>
    </w:p>
    <w:p w14:paraId="7FE82BF0" w14:textId="5123A8D4" w:rsidR="00AA7B43" w:rsidRPr="00AA7B43" w:rsidRDefault="00AA7B43" w:rsidP="00604F0D">
      <w:pPr>
        <w:pStyle w:val="SAABullets"/>
        <w:rPr>
          <w:i/>
          <w:iCs/>
        </w:rPr>
      </w:pPr>
      <w:r>
        <w:t>s</w:t>
      </w:r>
      <w:r w:rsidRPr="00AA7B43">
        <w:t>howed clear individual growth within the team, highlighting both the progress of the group and each student’s unique learning journey</w:t>
      </w:r>
    </w:p>
    <w:p w14:paraId="08EA9652" w14:textId="60109D69" w:rsidR="00AA7B43" w:rsidRPr="00AA7B43" w:rsidRDefault="00AA7B43" w:rsidP="00604F0D">
      <w:pPr>
        <w:pStyle w:val="SAABullets"/>
        <w:rPr>
          <w:i/>
          <w:iCs/>
        </w:rPr>
      </w:pPr>
      <w:r>
        <w:t>t</w:t>
      </w:r>
      <w:r w:rsidRPr="00AA7B43">
        <w:t>ailored the mode of presentation to leverage individual student strengths, utilising a variety of formats (e.g. annotated video, images, diagrams)</w:t>
      </w:r>
    </w:p>
    <w:p w14:paraId="2A956C48" w14:textId="1FB18DCF" w:rsidR="00AA7B43" w:rsidRPr="00AA7B43" w:rsidRDefault="00AA7B43" w:rsidP="00604F0D">
      <w:pPr>
        <w:pStyle w:val="SAABullets"/>
        <w:rPr>
          <w:i/>
          <w:iCs/>
        </w:rPr>
      </w:pPr>
      <w:r>
        <w:t>g</w:t>
      </w:r>
      <w:r w:rsidRPr="00AA7B43">
        <w:t>athered and analysed feedback from a wide range of sources—including peers, teachers, mentors, youth workers, younger students, and community members—to inform their own skills development and learning</w:t>
      </w:r>
    </w:p>
    <w:p w14:paraId="4167CB3E" w14:textId="0BD41F9A" w:rsidR="00AA7B43" w:rsidRPr="00AA7B43" w:rsidRDefault="00AA7B43" w:rsidP="00604F0D">
      <w:pPr>
        <w:pStyle w:val="SAABullets"/>
        <w:rPr>
          <w:i/>
          <w:iCs/>
        </w:rPr>
      </w:pPr>
      <w:r>
        <w:t>i</w:t>
      </w:r>
      <w:r w:rsidRPr="00AA7B43">
        <w:t>ncluded thoughtful self-assessment and feedback sheets, annotated to demonstrate how these tools informed next steps and skill progression</w:t>
      </w:r>
    </w:p>
    <w:p w14:paraId="45ECCF22" w14:textId="63CD1C67" w:rsidR="00AA7B43" w:rsidRPr="00AA7B43" w:rsidRDefault="00AA7B43" w:rsidP="00604F0D">
      <w:pPr>
        <w:pStyle w:val="SAABullets"/>
        <w:rPr>
          <w:i/>
          <w:iCs/>
        </w:rPr>
      </w:pPr>
      <w:r>
        <w:t>p</w:t>
      </w:r>
      <w:r w:rsidRPr="00AA7B43">
        <w:t>rovided authentic, varied evidence of individual learning, such as photos, graphs, surveys, and forms, to document inquiry, application, and collaborative processes</w:t>
      </w:r>
    </w:p>
    <w:p w14:paraId="28D31B60" w14:textId="4EC783DE" w:rsidR="00AA7B43" w:rsidRPr="00AA7B43" w:rsidRDefault="00AA7B43" w:rsidP="00604F0D">
      <w:pPr>
        <w:pStyle w:val="SAABullets"/>
        <w:rPr>
          <w:i/>
          <w:iCs/>
        </w:rPr>
      </w:pPr>
      <w:r>
        <w:t>a</w:t>
      </w:r>
      <w:r w:rsidRPr="00AA7B43">
        <w:t>nalysed and referenced a broad range of relevant sources, demonstrating discerning inquiry, supporting their application of knowledge, and deepening understanding</w:t>
      </w:r>
    </w:p>
    <w:p w14:paraId="45CE0B6A" w14:textId="0C723C79" w:rsidR="00AA7B43" w:rsidRPr="00AA7B43" w:rsidRDefault="00AA7B43" w:rsidP="00604F0D">
      <w:pPr>
        <w:pStyle w:val="SAABullets"/>
        <w:rPr>
          <w:i/>
          <w:iCs/>
        </w:rPr>
      </w:pPr>
      <w:r>
        <w:t>d</w:t>
      </w:r>
      <w:r w:rsidRPr="00AA7B43">
        <w:t>rew clear connections between the development of a chosen capability and overarching program focus</w:t>
      </w:r>
    </w:p>
    <w:p w14:paraId="0C98BDAC" w14:textId="6BB4818F" w:rsidR="00AA7B43" w:rsidRPr="00AA7B43" w:rsidRDefault="00AA7B43" w:rsidP="00604F0D">
      <w:pPr>
        <w:pStyle w:val="SAABullets"/>
        <w:rPr>
          <w:i/>
          <w:iCs/>
        </w:rPr>
      </w:pPr>
      <w:r>
        <w:t>e</w:t>
      </w:r>
      <w:r w:rsidRPr="00AA7B43">
        <w:t xml:space="preserve">valuated both </w:t>
      </w:r>
      <w:r w:rsidR="002F1320" w:rsidRPr="00AA7B43">
        <w:t xml:space="preserve">their own </w:t>
      </w:r>
      <w:r w:rsidR="002F1320">
        <w:t xml:space="preserve">and </w:t>
      </w:r>
      <w:r w:rsidRPr="00AA7B43">
        <w:t>the group</w:t>
      </w:r>
      <w:r w:rsidR="002F1320">
        <w:t>’</w:t>
      </w:r>
      <w:r w:rsidRPr="00AA7B43">
        <w:t xml:space="preserve">s </w:t>
      </w:r>
      <w:r w:rsidR="002F1320" w:rsidRPr="00AA7B43">
        <w:t>learning goals</w:t>
      </w:r>
      <w:r w:rsidRPr="00AA7B43">
        <w:t>, knowledge, and skills using self-assessment outcomes and feedback from others</w:t>
      </w:r>
    </w:p>
    <w:p w14:paraId="5AB132FE" w14:textId="06DB3367" w:rsidR="00AA7B43" w:rsidRPr="00AA7B43" w:rsidRDefault="00A96A7A" w:rsidP="00604F0D">
      <w:pPr>
        <w:pStyle w:val="SAABullets"/>
        <w:rPr>
          <w:i/>
          <w:iCs/>
        </w:rPr>
      </w:pPr>
      <w:r>
        <w:t>d</w:t>
      </w:r>
      <w:r w:rsidR="00AA7B43" w:rsidRPr="00AA7B43">
        <w:t>iscussed and evaluated the group’s investigation of contemporary issues, as well as group processes, including dynamics, roles, and responsibilities.</w:t>
      </w:r>
    </w:p>
    <w:p w14:paraId="525AF65F" w14:textId="77777777" w:rsidR="00244AF2" w:rsidRDefault="00244AF2" w:rsidP="00604F0D">
      <w:pPr>
        <w:pStyle w:val="SAAMoreLess"/>
      </w:pPr>
      <w:r>
        <w:t>The less successful responses commonly:</w:t>
      </w:r>
    </w:p>
    <w:p w14:paraId="0162BA32" w14:textId="0CC204DE" w:rsidR="00A96A7A" w:rsidRPr="00A96A7A" w:rsidRDefault="002D50EF" w:rsidP="00604F0D">
      <w:pPr>
        <w:pStyle w:val="SAABullets"/>
        <w:rPr>
          <w:bCs/>
        </w:rPr>
      </w:pPr>
      <w:r>
        <w:t>d</w:t>
      </w:r>
      <w:r w:rsidR="00A96A7A" w:rsidRPr="00A96A7A">
        <w:t>efined chosen capabilities in broad or general terms, without demonstrating personal understanding or meaningful application</w:t>
      </w:r>
    </w:p>
    <w:p w14:paraId="438DCEE1" w14:textId="0A416F0D" w:rsidR="00A96A7A" w:rsidRPr="00A96A7A" w:rsidRDefault="002D50EF" w:rsidP="00604F0D">
      <w:pPr>
        <w:pStyle w:val="SAABullets"/>
        <w:rPr>
          <w:bCs/>
        </w:rPr>
      </w:pPr>
      <w:r>
        <w:t>f</w:t>
      </w:r>
      <w:r w:rsidR="00A96A7A" w:rsidRPr="00A96A7A">
        <w:t>ocused primarily on describing events, activities, or capability development, with little analysis or evaluation</w:t>
      </w:r>
    </w:p>
    <w:p w14:paraId="324668DA" w14:textId="0B4DF442" w:rsidR="00A96A7A" w:rsidRPr="00A96A7A" w:rsidRDefault="002D50EF" w:rsidP="00604F0D">
      <w:pPr>
        <w:pStyle w:val="SAABullets"/>
        <w:rPr>
          <w:bCs/>
        </w:rPr>
      </w:pPr>
      <w:r>
        <w:t>o</w:t>
      </w:r>
      <w:r w:rsidR="00A96A7A" w:rsidRPr="00A96A7A">
        <w:t>ffered incidental or parallel collaboration, rather than engaging in ongoing, shared group work with equitable responsibility and genuine co-design</w:t>
      </w:r>
    </w:p>
    <w:p w14:paraId="523153B4" w14:textId="48A033BC" w:rsidR="00A96A7A" w:rsidRPr="00A96A7A" w:rsidRDefault="002D50EF" w:rsidP="00604F0D">
      <w:pPr>
        <w:pStyle w:val="SAABullets"/>
        <w:rPr>
          <w:bCs/>
        </w:rPr>
      </w:pPr>
      <w:r>
        <w:t>p</w:t>
      </w:r>
      <w:r w:rsidR="00A96A7A" w:rsidRPr="00A96A7A">
        <w:t>resented identical evidence for all group members, failing to distinguish individual contributions or offer personal reflections, such as self-assessment of learning or capability development</w:t>
      </w:r>
    </w:p>
    <w:p w14:paraId="4964F86E" w14:textId="44ED9022" w:rsidR="00A96A7A" w:rsidRPr="00A96A7A" w:rsidRDefault="002D50EF" w:rsidP="00604F0D">
      <w:pPr>
        <w:pStyle w:val="SAABullets"/>
        <w:rPr>
          <w:bCs/>
        </w:rPr>
      </w:pPr>
      <w:r>
        <w:t>p</w:t>
      </w:r>
      <w:r w:rsidR="00A96A7A" w:rsidRPr="00A96A7A">
        <w:t>rovided student evidence that was indistinguishable from teacher-directed activities, limiting opportunities for personal insight</w:t>
      </w:r>
    </w:p>
    <w:p w14:paraId="419B7E36" w14:textId="68BF4436" w:rsidR="00A96A7A" w:rsidRPr="00A96A7A" w:rsidRDefault="002D50EF" w:rsidP="00604F0D">
      <w:pPr>
        <w:pStyle w:val="SAABullets"/>
        <w:rPr>
          <w:bCs/>
        </w:rPr>
      </w:pPr>
      <w:r>
        <w:t>w</w:t>
      </w:r>
      <w:r w:rsidR="00A96A7A" w:rsidRPr="00A96A7A">
        <w:t>ere highly scaffolded, restricting opportunities for independent analysis and insightful, individual student responses</w:t>
      </w:r>
    </w:p>
    <w:p w14:paraId="0545A6D3" w14:textId="03623026" w:rsidR="00A96A7A" w:rsidRPr="00A96A7A" w:rsidRDefault="002D50EF" w:rsidP="00604F0D">
      <w:pPr>
        <w:pStyle w:val="SAABullets"/>
        <w:rPr>
          <w:bCs/>
        </w:rPr>
      </w:pPr>
      <w:r>
        <w:t>s</w:t>
      </w:r>
      <w:r w:rsidR="00A96A7A" w:rsidRPr="00A96A7A">
        <w:t>howed minimal or absent self-assessment and/or feedback from others, resulting in a lack of reflection or evidence of learning growth.</w:t>
      </w:r>
    </w:p>
    <w:p w14:paraId="5C4870E8" w14:textId="5AFCCB73" w:rsidR="00B30663" w:rsidRPr="00B30663" w:rsidRDefault="00CC0708" w:rsidP="00B30663">
      <w:pPr>
        <w:pStyle w:val="Heading1"/>
      </w:pPr>
      <w:r>
        <w:lastRenderedPageBreak/>
        <w:t>E</w:t>
      </w:r>
      <w:r w:rsidR="00B30663" w:rsidRPr="00B30663">
        <w:t>xternal Assessment</w:t>
      </w:r>
    </w:p>
    <w:p w14:paraId="4D02E63B" w14:textId="77777777" w:rsidR="00244AF2" w:rsidRPr="00604F0D" w:rsidRDefault="00244AF2" w:rsidP="00604F0D">
      <w:pPr>
        <w:pStyle w:val="SAAHeading2"/>
      </w:pPr>
      <w:r w:rsidRPr="00604F0D">
        <w:t>Assessment Type 3: Personal Endeavour (30%)</w:t>
      </w:r>
    </w:p>
    <w:p w14:paraId="03475694" w14:textId="77777777" w:rsidR="00244AF2" w:rsidRDefault="00244AF2" w:rsidP="00604F0D">
      <w:pPr>
        <w:pStyle w:val="SAABodytext"/>
      </w:pPr>
      <w:r>
        <w:t>The Personal Endeavour provides students with the chance to delve into an aspect of the program focus that captivates their interest. Through investigation and analysis of pertinent concepts, ideas, and skills, students communicate their thoughts and opinions on the subject. Within their personal endeavour, students choose one capability to develop and establish connections between that capability and their chosen area of interest. It is important to note that students within the same class are required to pursue distinct personal endeavours.</w:t>
      </w:r>
    </w:p>
    <w:p w14:paraId="62D129E1" w14:textId="77777777" w:rsidR="00244AF2" w:rsidRDefault="00244AF2" w:rsidP="00604F0D">
      <w:pPr>
        <w:pStyle w:val="SAAMoreLess"/>
      </w:pPr>
      <w:r>
        <w:t>The more successful responses commonly:</w:t>
      </w:r>
    </w:p>
    <w:p w14:paraId="5C611044" w14:textId="115E877E" w:rsidR="004569A7" w:rsidRPr="004569A7" w:rsidRDefault="004569A7" w:rsidP="00604F0D">
      <w:pPr>
        <w:pStyle w:val="SAABullets"/>
        <w:rPr>
          <w:i/>
          <w:iCs/>
        </w:rPr>
      </w:pPr>
      <w:r>
        <w:t>s</w:t>
      </w:r>
      <w:r w:rsidRPr="004569A7">
        <w:t>elected topics based on individual interests, increasing student engagement and personal investment in the learning process</w:t>
      </w:r>
    </w:p>
    <w:p w14:paraId="12B9E410" w14:textId="7280B573" w:rsidR="004569A7" w:rsidRPr="004569A7" w:rsidRDefault="00171934" w:rsidP="00604F0D">
      <w:pPr>
        <w:pStyle w:val="SAABullets"/>
        <w:rPr>
          <w:i/>
          <w:iCs/>
        </w:rPr>
      </w:pPr>
      <w:r>
        <w:t>e</w:t>
      </w:r>
      <w:r w:rsidR="004569A7" w:rsidRPr="004569A7">
        <w:t>stablished a clear and well-defined purpose or inquiry question, providing strong clarity and direction for the entire inquiry</w:t>
      </w:r>
    </w:p>
    <w:p w14:paraId="006EE7BF" w14:textId="453E8D6B" w:rsidR="004569A7" w:rsidRPr="004569A7" w:rsidRDefault="00171934" w:rsidP="00604F0D">
      <w:pPr>
        <w:pStyle w:val="SAABullets"/>
        <w:rPr>
          <w:i/>
          <w:iCs/>
        </w:rPr>
      </w:pPr>
      <w:r>
        <w:t>d</w:t>
      </w:r>
      <w:r w:rsidR="004569A7" w:rsidRPr="004569A7">
        <w:t xml:space="preserve">emonstrated a comprehensive, contextual understanding of the chosen capability, explicitly discussing and evidencing how this </w:t>
      </w:r>
      <w:r w:rsidR="002F1320">
        <w:t xml:space="preserve">capability </w:t>
      </w:r>
      <w:r w:rsidR="004569A7" w:rsidRPr="004569A7">
        <w:t>was developed throughout the personal endeavour</w:t>
      </w:r>
    </w:p>
    <w:p w14:paraId="39BD4B20" w14:textId="6AB8AE41" w:rsidR="004569A7" w:rsidRPr="004569A7" w:rsidRDefault="00171934" w:rsidP="00604F0D">
      <w:pPr>
        <w:pStyle w:val="SAABullets"/>
        <w:rPr>
          <w:i/>
          <w:iCs/>
        </w:rPr>
      </w:pPr>
      <w:r>
        <w:t>d</w:t>
      </w:r>
      <w:r w:rsidR="004569A7" w:rsidRPr="004569A7">
        <w:t>rew on, acknowledged, and referenced a variety of relevant sources to support the development and depth of knowledge, concepts, and skills</w:t>
      </w:r>
    </w:p>
    <w:p w14:paraId="2DF7E212" w14:textId="4A01E61A" w:rsidR="004569A7" w:rsidRPr="004569A7" w:rsidRDefault="00171934" w:rsidP="00604F0D">
      <w:pPr>
        <w:pStyle w:val="SAABullets"/>
        <w:rPr>
          <w:i/>
          <w:iCs/>
        </w:rPr>
      </w:pPr>
      <w:r>
        <w:t>a</w:t>
      </w:r>
      <w:r w:rsidR="004569A7" w:rsidRPr="004569A7">
        <w:t>nalysed concepts, ideas, and skill development from a broad range of perspectives, strengthening the credibility and insight of their inquiry</w:t>
      </w:r>
    </w:p>
    <w:p w14:paraId="19A88A82" w14:textId="45E56244" w:rsidR="004569A7" w:rsidRPr="004569A7" w:rsidRDefault="00171934" w:rsidP="00604F0D">
      <w:pPr>
        <w:pStyle w:val="SAABullets"/>
        <w:rPr>
          <w:i/>
          <w:iCs/>
        </w:rPr>
      </w:pPr>
      <w:r>
        <w:t>i</w:t>
      </w:r>
      <w:r w:rsidR="004569A7" w:rsidRPr="004569A7">
        <w:t>ncluded well-annotated or captioned photos, data, tables, and images to clearly evidence understanding, progress, and capability development</w:t>
      </w:r>
    </w:p>
    <w:p w14:paraId="71D65904" w14:textId="0A1F976D" w:rsidR="004569A7" w:rsidRPr="004569A7" w:rsidRDefault="00171934" w:rsidP="00604F0D">
      <w:pPr>
        <w:pStyle w:val="SAABullets"/>
        <w:rPr>
          <w:i/>
          <w:iCs/>
        </w:rPr>
      </w:pPr>
      <w:r>
        <w:t>e</w:t>
      </w:r>
      <w:r w:rsidR="004569A7" w:rsidRPr="004569A7">
        <w:t>mployed a mode of presentation that was well-suited to both the task and the student's individual strengths, resulting in meaningful and authentic work.</w:t>
      </w:r>
    </w:p>
    <w:p w14:paraId="10BD2FFF" w14:textId="77777777" w:rsidR="00244AF2" w:rsidRDefault="00244AF2" w:rsidP="00604F0D">
      <w:pPr>
        <w:pStyle w:val="SAAMoreLess"/>
      </w:pPr>
      <w:r>
        <w:t>The less successful responses commonly:</w:t>
      </w:r>
    </w:p>
    <w:p w14:paraId="3E920A26" w14:textId="293CF90B" w:rsidR="00756678" w:rsidRPr="00604F0D" w:rsidRDefault="00756678" w:rsidP="00604F0D">
      <w:pPr>
        <w:pStyle w:val="SAABullets"/>
      </w:pPr>
      <w:r w:rsidRPr="00604F0D">
        <w:t>required the whole class to investigate the same topic or question, restricting student agency and engagement, contrary to the expectations of the subject outline</w:t>
      </w:r>
    </w:p>
    <w:p w14:paraId="039C287A" w14:textId="14D2C70D" w:rsidR="00756678" w:rsidRPr="00604F0D" w:rsidRDefault="00756678" w:rsidP="00604F0D">
      <w:pPr>
        <w:pStyle w:val="SAABullets"/>
      </w:pPr>
      <w:r w:rsidRPr="00604F0D">
        <w:t xml:space="preserve">were heavily scaffolded with limited opportunity for student choice, </w:t>
      </w:r>
      <w:r w:rsidR="002F1320">
        <w:t>restricting</w:t>
      </w:r>
      <w:r w:rsidRPr="00604F0D">
        <w:t xml:space="preserve"> originality and depth of inquiry</w:t>
      </w:r>
    </w:p>
    <w:p w14:paraId="18C98D8A" w14:textId="3FD0D7A4" w:rsidR="00756678" w:rsidRPr="00604F0D" w:rsidRDefault="00756678" w:rsidP="00604F0D">
      <w:pPr>
        <w:pStyle w:val="SAABullets"/>
      </w:pPr>
      <w:r w:rsidRPr="00604F0D">
        <w:t>offered one perspective or relied on a singular source for the investigation, limiting scope and quality of analysi</w:t>
      </w:r>
      <w:r w:rsidR="00604F0D">
        <w:t>s</w:t>
      </w:r>
    </w:p>
    <w:p w14:paraId="0747A9F9" w14:textId="570B04D8" w:rsidR="00756678" w:rsidRPr="00604F0D" w:rsidRDefault="00756678" w:rsidP="00604F0D">
      <w:pPr>
        <w:pStyle w:val="SAABullets"/>
      </w:pPr>
      <w:r w:rsidRPr="00604F0D">
        <w:t>presented little evidence of inquiry</w:t>
      </w:r>
      <w:r w:rsidR="002F1320">
        <w:t>/</w:t>
      </w:r>
      <w:r w:rsidRPr="00604F0D">
        <w:t>analysis from a diverse range of sources, instead favouring superficial recounts of experiences</w:t>
      </w:r>
      <w:r w:rsidR="002F1320">
        <w:t>/</w:t>
      </w:r>
      <w:r w:rsidRPr="00604F0D">
        <w:t>events with minimal exploration of concepts, ideas, or skill development</w:t>
      </w:r>
    </w:p>
    <w:p w14:paraId="635069D5" w14:textId="64AEBC0D" w:rsidR="00756678" w:rsidRPr="00604F0D" w:rsidRDefault="006060D7" w:rsidP="00604F0D">
      <w:pPr>
        <w:pStyle w:val="SAABullets"/>
      </w:pPr>
      <w:r w:rsidRPr="00604F0D">
        <w:t>s</w:t>
      </w:r>
      <w:r w:rsidR="00756678" w:rsidRPr="00604F0D">
        <w:t>howed limited personal understanding of the selected capability, often relying on quoted SACE definitions rather than contextual or authentic application and reflection.</w:t>
      </w:r>
    </w:p>
    <w:p w14:paraId="44592027" w14:textId="77777777" w:rsidR="00B30663" w:rsidRPr="00B30663" w:rsidRDefault="00B30663" w:rsidP="00B30663">
      <w:pPr>
        <w:pStyle w:val="Heading2NoNumber"/>
      </w:pPr>
      <w:r w:rsidRPr="00B30663">
        <w:t>General</w:t>
      </w:r>
    </w:p>
    <w:p w14:paraId="66674AF8" w14:textId="77777777" w:rsidR="002F1320" w:rsidRDefault="009173F8" w:rsidP="009173F8">
      <w:pPr>
        <w:numPr>
          <w:ilvl w:val="0"/>
          <w:numId w:val="0"/>
        </w:numPr>
      </w:pPr>
      <w:r>
        <w:t xml:space="preserve">Across the various assessment types in this subject, students are encouraged to express their responses through oral or multimodal presentations, with six minutes roughly equivalent to 1,000 words and twelve minutes to 2,000 words. </w:t>
      </w:r>
    </w:p>
    <w:p w14:paraId="4BAAA3E7" w14:textId="77777777" w:rsidR="002F1320" w:rsidRDefault="002F1320" w:rsidP="009173F8">
      <w:pPr>
        <w:numPr>
          <w:ilvl w:val="0"/>
          <w:numId w:val="0"/>
        </w:numPr>
      </w:pPr>
      <w:r>
        <w:t>S</w:t>
      </w:r>
      <w:r w:rsidR="009173F8">
        <w:t xml:space="preserve">tudents should avoid increasing the speed of their video recordings merely to fit more content within the time limit. If a submission is identified as excessively sped up, the school may be asked to provide a transcript. </w:t>
      </w:r>
    </w:p>
    <w:p w14:paraId="1854AD6C" w14:textId="23B40182" w:rsidR="009173F8" w:rsidRDefault="009173F8" w:rsidP="009173F8">
      <w:pPr>
        <w:numPr>
          <w:ilvl w:val="0"/>
          <w:numId w:val="0"/>
        </w:numPr>
      </w:pPr>
      <w:r>
        <w:t>Markers and moderators will then assess only the content contained within the allowed word limit (e.g., up to 2,000 words for Assessment Type 3: Personal Endeavour), based on the transcript.</w:t>
      </w:r>
    </w:p>
    <w:p w14:paraId="70781A80" w14:textId="61197E3B" w:rsidR="009173F8" w:rsidRDefault="009173F8" w:rsidP="009173F8">
      <w:pPr>
        <w:numPr>
          <w:ilvl w:val="0"/>
          <w:numId w:val="0"/>
        </w:numPr>
      </w:pPr>
      <w:r>
        <w:t>Teachers are reminded to foster student autonomy and individuality, supporting students to take genuine ownership of key roles and tasks within each assessment type.</w:t>
      </w:r>
    </w:p>
    <w:sectPr w:rsidR="009173F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3FB75" w14:textId="77777777" w:rsidR="00E60FC1" w:rsidRPr="000D4EDE" w:rsidRDefault="00E60FC1" w:rsidP="000D4EDE">
      <w:r>
        <w:separator/>
      </w:r>
    </w:p>
  </w:endnote>
  <w:endnote w:type="continuationSeparator" w:id="0">
    <w:p w14:paraId="749DF1F2" w14:textId="77777777" w:rsidR="00E60FC1" w:rsidRPr="000D4EDE" w:rsidRDefault="00E60FC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48BB4FA9" w:rsidR="005A77A8" w:rsidRPr="005A77A8" w:rsidRDefault="005A77A8" w:rsidP="005A77A8">
    <w:pPr>
      <w:pStyle w:val="FootnoteText"/>
      <w:tabs>
        <w:tab w:val="right" w:pos="9070"/>
      </w:tabs>
    </w:pPr>
    <w:r w:rsidRPr="005A77A8">
      <w:t xml:space="preserve">Stage 2 </w:t>
    </w:r>
    <w:r w:rsidR="00244AF2">
      <w:t>Integrated Learning</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7ECC5D57" w:rsidR="005A77A8" w:rsidRPr="005A77A8" w:rsidRDefault="005A77A8" w:rsidP="005A77A8">
    <w:pPr>
      <w:pStyle w:val="FootnoteText"/>
    </w:pPr>
    <w:r w:rsidRPr="001D0BE1">
      <w:t>Ref</w:t>
    </w:r>
    <w:r w:rsidR="00CC0708" w:rsidRPr="001D0BE1">
      <w:t>: A</w:t>
    </w:r>
    <w:r w:rsidR="001D0BE1" w:rsidRPr="001D0BE1">
      <w:t>1669255</w:t>
    </w:r>
    <w:r w:rsidRPr="001D0BE1">
      <w:t xml:space="preserve"> ©</w:t>
    </w:r>
    <w:r w:rsidRPr="005A77A8">
      <w:t xml:space="preserve">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69F69" w14:textId="77777777" w:rsidR="00E60FC1" w:rsidRPr="000D4EDE" w:rsidRDefault="00E60FC1" w:rsidP="000D4EDE">
      <w:r>
        <w:separator/>
      </w:r>
    </w:p>
  </w:footnote>
  <w:footnote w:type="continuationSeparator" w:id="0">
    <w:p w14:paraId="76D78A0E" w14:textId="77777777" w:rsidR="00E60FC1" w:rsidRPr="000D4EDE" w:rsidRDefault="00E60FC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41C5CE8"/>
    <w:multiLevelType w:val="multilevel"/>
    <w:tmpl w:val="0A4A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65E4A91"/>
    <w:multiLevelType w:val="multilevel"/>
    <w:tmpl w:val="BC94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3B894009"/>
    <w:multiLevelType w:val="hybridMultilevel"/>
    <w:tmpl w:val="AA200F6C"/>
    <w:lvl w:ilvl="0" w:tplc="D29AF6FE">
      <w:numFmt w:val="bullet"/>
      <w:pStyle w:val="SAABullets"/>
      <w:lvlText w:val=""/>
      <w:lvlJc w:val="left"/>
      <w:pPr>
        <w:ind w:left="360" w:hanging="360"/>
      </w:pPr>
      <w:rPr>
        <w:rFonts w:ascii="Symbol" w:hAnsi="Symbol" w:cs="Calibri" w:hint="default"/>
        <w:sz w:val="14"/>
      </w:rPr>
    </w:lvl>
    <w:lvl w:ilvl="1" w:tplc="1E1EB92E">
      <w:start w:val="1"/>
      <w:numFmt w:val="bullet"/>
      <w:lvlText w:val="o"/>
      <w:lvlJc w:val="left"/>
      <w:pPr>
        <w:ind w:left="1080" w:hanging="360"/>
      </w:pPr>
      <w:rPr>
        <w:rFonts w:ascii="Courier New" w:hAnsi="Courier New" w:cs="Courier New" w:hint="default"/>
      </w:rPr>
    </w:lvl>
    <w:lvl w:ilvl="2" w:tplc="CC6264B6">
      <w:start w:val="1"/>
      <w:numFmt w:val="bullet"/>
      <w:lvlText w:val=""/>
      <w:lvlJc w:val="left"/>
      <w:pPr>
        <w:ind w:left="1800" w:hanging="360"/>
      </w:pPr>
      <w:rPr>
        <w:rFonts w:ascii="Wingdings" w:hAnsi="Wingdings" w:hint="default"/>
      </w:rPr>
    </w:lvl>
    <w:lvl w:ilvl="3" w:tplc="1E1A53CC">
      <w:start w:val="1"/>
      <w:numFmt w:val="bullet"/>
      <w:lvlText w:val=""/>
      <w:lvlJc w:val="left"/>
      <w:pPr>
        <w:ind w:left="2520" w:hanging="360"/>
      </w:pPr>
      <w:rPr>
        <w:rFonts w:ascii="Symbol" w:hAnsi="Symbol" w:hint="default"/>
      </w:rPr>
    </w:lvl>
    <w:lvl w:ilvl="4" w:tplc="242AC6AE">
      <w:start w:val="1"/>
      <w:numFmt w:val="bullet"/>
      <w:lvlText w:val="o"/>
      <w:lvlJc w:val="left"/>
      <w:pPr>
        <w:ind w:left="3240" w:hanging="360"/>
      </w:pPr>
      <w:rPr>
        <w:rFonts w:ascii="Courier New" w:hAnsi="Courier New" w:cs="Courier New" w:hint="default"/>
      </w:rPr>
    </w:lvl>
    <w:lvl w:ilvl="5" w:tplc="772433A8">
      <w:start w:val="1"/>
      <w:numFmt w:val="bullet"/>
      <w:lvlText w:val=""/>
      <w:lvlJc w:val="left"/>
      <w:pPr>
        <w:ind w:left="3960" w:hanging="360"/>
      </w:pPr>
      <w:rPr>
        <w:rFonts w:ascii="Wingdings" w:hAnsi="Wingdings" w:hint="default"/>
      </w:rPr>
    </w:lvl>
    <w:lvl w:ilvl="6" w:tplc="371A3132">
      <w:start w:val="1"/>
      <w:numFmt w:val="bullet"/>
      <w:lvlText w:val=""/>
      <w:lvlJc w:val="left"/>
      <w:pPr>
        <w:ind w:left="4680" w:hanging="360"/>
      </w:pPr>
      <w:rPr>
        <w:rFonts w:ascii="Symbol" w:hAnsi="Symbol" w:hint="default"/>
      </w:rPr>
    </w:lvl>
    <w:lvl w:ilvl="7" w:tplc="D82462D8">
      <w:start w:val="1"/>
      <w:numFmt w:val="bullet"/>
      <w:lvlText w:val="o"/>
      <w:lvlJc w:val="left"/>
      <w:pPr>
        <w:ind w:left="5400" w:hanging="360"/>
      </w:pPr>
      <w:rPr>
        <w:rFonts w:ascii="Courier New" w:hAnsi="Courier New" w:cs="Courier New" w:hint="default"/>
      </w:rPr>
    </w:lvl>
    <w:lvl w:ilvl="8" w:tplc="85162E96">
      <w:start w:val="1"/>
      <w:numFmt w:val="bullet"/>
      <w:lvlText w:val=""/>
      <w:lvlJc w:val="left"/>
      <w:pPr>
        <w:ind w:left="6120" w:hanging="360"/>
      </w:pPr>
      <w:rPr>
        <w:rFonts w:ascii="Wingdings" w:hAnsi="Wingdings" w:hint="default"/>
      </w:rPr>
    </w:lvl>
  </w:abstractNum>
  <w:abstractNum w:abstractNumId="9" w15:restartNumberingAfterBreak="0">
    <w:nsid w:val="3E4948BF"/>
    <w:multiLevelType w:val="multilevel"/>
    <w:tmpl w:val="0F22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59DE6137"/>
    <w:multiLevelType w:val="singleLevel"/>
    <w:tmpl w:val="0C090001"/>
    <w:lvl w:ilvl="0">
      <w:start w:val="1"/>
      <w:numFmt w:val="bullet"/>
      <w:lvlText w:val=""/>
      <w:lvlJc w:val="left"/>
      <w:pPr>
        <w:ind w:left="720" w:hanging="360"/>
      </w:pPr>
      <w:rPr>
        <w:rFonts w:ascii="Symbol" w:hAnsi="Symbol" w:hint="default"/>
      </w:rPr>
    </w:lvl>
  </w:abstractNum>
  <w:abstractNum w:abstractNumId="13" w15:restartNumberingAfterBreak="0">
    <w:nsid w:val="631612A3"/>
    <w:multiLevelType w:val="hybridMultilevel"/>
    <w:tmpl w:val="7A14B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312910"/>
    <w:multiLevelType w:val="multilevel"/>
    <w:tmpl w:val="30FE080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7FAB1D2A"/>
    <w:multiLevelType w:val="multilevel"/>
    <w:tmpl w:val="2D2E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4925656">
    <w:abstractNumId w:val="11"/>
  </w:num>
  <w:num w:numId="2" w16cid:durableId="942691517">
    <w:abstractNumId w:val="11"/>
  </w:num>
  <w:num w:numId="3" w16cid:durableId="612129881">
    <w:abstractNumId w:val="1"/>
  </w:num>
  <w:num w:numId="4" w16cid:durableId="251857017">
    <w:abstractNumId w:val="0"/>
  </w:num>
  <w:num w:numId="5" w16cid:durableId="895510934">
    <w:abstractNumId w:val="4"/>
  </w:num>
  <w:num w:numId="6" w16cid:durableId="1369378856">
    <w:abstractNumId w:val="6"/>
  </w:num>
  <w:num w:numId="7" w16cid:durableId="177471535">
    <w:abstractNumId w:val="7"/>
  </w:num>
  <w:num w:numId="8" w16cid:durableId="982319346">
    <w:abstractNumId w:val="10"/>
  </w:num>
  <w:num w:numId="9" w16cid:durableId="1255162032">
    <w:abstractNumId w:val="2"/>
  </w:num>
  <w:num w:numId="10" w16cid:durableId="987827627">
    <w:abstractNumId w:val="8"/>
  </w:num>
  <w:num w:numId="11" w16cid:durableId="885019983">
    <w:abstractNumId w:val="12"/>
  </w:num>
  <w:num w:numId="12" w16cid:durableId="1939018384">
    <w:abstractNumId w:val="3"/>
  </w:num>
  <w:num w:numId="13" w16cid:durableId="1462115138">
    <w:abstractNumId w:val="9"/>
  </w:num>
  <w:num w:numId="14" w16cid:durableId="1741440854">
    <w:abstractNumId w:val="14"/>
  </w:num>
  <w:num w:numId="15" w16cid:durableId="61756671">
    <w:abstractNumId w:val="15"/>
  </w:num>
  <w:num w:numId="16" w16cid:durableId="972715543">
    <w:abstractNumId w:val="13"/>
  </w:num>
  <w:num w:numId="17" w16cid:durableId="109782356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45E"/>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175A"/>
    <w:rsid w:val="000F703E"/>
    <w:rsid w:val="001066AD"/>
    <w:rsid w:val="00123576"/>
    <w:rsid w:val="00124B21"/>
    <w:rsid w:val="001327B8"/>
    <w:rsid w:val="0013471B"/>
    <w:rsid w:val="001352D4"/>
    <w:rsid w:val="00137555"/>
    <w:rsid w:val="00157C98"/>
    <w:rsid w:val="001653B6"/>
    <w:rsid w:val="00171934"/>
    <w:rsid w:val="00174B0F"/>
    <w:rsid w:val="0018235E"/>
    <w:rsid w:val="001A664F"/>
    <w:rsid w:val="001B2DB7"/>
    <w:rsid w:val="001B3FFD"/>
    <w:rsid w:val="001C1E92"/>
    <w:rsid w:val="001C7CBD"/>
    <w:rsid w:val="001D0BE1"/>
    <w:rsid w:val="001D0C02"/>
    <w:rsid w:val="001D121E"/>
    <w:rsid w:val="001E0F51"/>
    <w:rsid w:val="001E55BF"/>
    <w:rsid w:val="001F4BF9"/>
    <w:rsid w:val="001F6E1A"/>
    <w:rsid w:val="001F7277"/>
    <w:rsid w:val="001F780A"/>
    <w:rsid w:val="001F7917"/>
    <w:rsid w:val="00200613"/>
    <w:rsid w:val="00220550"/>
    <w:rsid w:val="00222127"/>
    <w:rsid w:val="002301A2"/>
    <w:rsid w:val="00236C2D"/>
    <w:rsid w:val="002374B7"/>
    <w:rsid w:val="00240126"/>
    <w:rsid w:val="0024304D"/>
    <w:rsid w:val="0024336B"/>
    <w:rsid w:val="002439E1"/>
    <w:rsid w:val="00244826"/>
    <w:rsid w:val="00244AF2"/>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0EF"/>
    <w:rsid w:val="002D5274"/>
    <w:rsid w:val="002F0C2C"/>
    <w:rsid w:val="002F1320"/>
    <w:rsid w:val="00300655"/>
    <w:rsid w:val="00303D18"/>
    <w:rsid w:val="00307ADD"/>
    <w:rsid w:val="00312A66"/>
    <w:rsid w:val="003130CA"/>
    <w:rsid w:val="003175B0"/>
    <w:rsid w:val="00322835"/>
    <w:rsid w:val="00322B20"/>
    <w:rsid w:val="003506BD"/>
    <w:rsid w:val="003517AE"/>
    <w:rsid w:val="003633D1"/>
    <w:rsid w:val="00371F54"/>
    <w:rsid w:val="00374727"/>
    <w:rsid w:val="0037770C"/>
    <w:rsid w:val="00377C8B"/>
    <w:rsid w:val="00380544"/>
    <w:rsid w:val="0038268A"/>
    <w:rsid w:val="00383A95"/>
    <w:rsid w:val="00385CA0"/>
    <w:rsid w:val="003A23DC"/>
    <w:rsid w:val="003A2733"/>
    <w:rsid w:val="003A3021"/>
    <w:rsid w:val="003A627E"/>
    <w:rsid w:val="003A79EE"/>
    <w:rsid w:val="003B011D"/>
    <w:rsid w:val="003B3395"/>
    <w:rsid w:val="003B6E16"/>
    <w:rsid w:val="003C180A"/>
    <w:rsid w:val="003C1E25"/>
    <w:rsid w:val="003D1294"/>
    <w:rsid w:val="003D160A"/>
    <w:rsid w:val="003D27CB"/>
    <w:rsid w:val="003D329D"/>
    <w:rsid w:val="003E038F"/>
    <w:rsid w:val="003E0413"/>
    <w:rsid w:val="003E6174"/>
    <w:rsid w:val="003E6BF6"/>
    <w:rsid w:val="003F0F0D"/>
    <w:rsid w:val="003F14FD"/>
    <w:rsid w:val="003F4B55"/>
    <w:rsid w:val="0040173E"/>
    <w:rsid w:val="00411683"/>
    <w:rsid w:val="00411E5A"/>
    <w:rsid w:val="00435339"/>
    <w:rsid w:val="0044447D"/>
    <w:rsid w:val="004517B5"/>
    <w:rsid w:val="004569A7"/>
    <w:rsid w:val="00461869"/>
    <w:rsid w:val="00463FA8"/>
    <w:rsid w:val="00467BFA"/>
    <w:rsid w:val="00472CBC"/>
    <w:rsid w:val="004754C6"/>
    <w:rsid w:val="00493400"/>
    <w:rsid w:val="00493DAA"/>
    <w:rsid w:val="0049428C"/>
    <w:rsid w:val="00494335"/>
    <w:rsid w:val="00495A4C"/>
    <w:rsid w:val="004967A1"/>
    <w:rsid w:val="004A2CFC"/>
    <w:rsid w:val="004B584E"/>
    <w:rsid w:val="004C1106"/>
    <w:rsid w:val="004C1634"/>
    <w:rsid w:val="004C6D4B"/>
    <w:rsid w:val="004E2269"/>
    <w:rsid w:val="004E4484"/>
    <w:rsid w:val="004F3339"/>
    <w:rsid w:val="004F3AFC"/>
    <w:rsid w:val="004F72A2"/>
    <w:rsid w:val="00500FC7"/>
    <w:rsid w:val="005026D4"/>
    <w:rsid w:val="00503A51"/>
    <w:rsid w:val="0051007F"/>
    <w:rsid w:val="00512309"/>
    <w:rsid w:val="00521D3D"/>
    <w:rsid w:val="00533294"/>
    <w:rsid w:val="00542522"/>
    <w:rsid w:val="005443CA"/>
    <w:rsid w:val="0054526E"/>
    <w:rsid w:val="005476B5"/>
    <w:rsid w:val="005541D2"/>
    <w:rsid w:val="005556DD"/>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386D"/>
    <w:rsid w:val="00604F0D"/>
    <w:rsid w:val="006060D7"/>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461AC"/>
    <w:rsid w:val="007509A6"/>
    <w:rsid w:val="00753F83"/>
    <w:rsid w:val="007541B0"/>
    <w:rsid w:val="0075469B"/>
    <w:rsid w:val="00755163"/>
    <w:rsid w:val="00756678"/>
    <w:rsid w:val="00756AAB"/>
    <w:rsid w:val="00757F63"/>
    <w:rsid w:val="007645AE"/>
    <w:rsid w:val="00764992"/>
    <w:rsid w:val="00775AA0"/>
    <w:rsid w:val="007770FA"/>
    <w:rsid w:val="007859C4"/>
    <w:rsid w:val="007860F1"/>
    <w:rsid w:val="007874E3"/>
    <w:rsid w:val="00791738"/>
    <w:rsid w:val="00791780"/>
    <w:rsid w:val="00792BFF"/>
    <w:rsid w:val="00792D8F"/>
    <w:rsid w:val="007A0EB7"/>
    <w:rsid w:val="007A136D"/>
    <w:rsid w:val="007C08B1"/>
    <w:rsid w:val="007C2CC2"/>
    <w:rsid w:val="007C38BD"/>
    <w:rsid w:val="007C3DA5"/>
    <w:rsid w:val="007C79AA"/>
    <w:rsid w:val="007D2E34"/>
    <w:rsid w:val="007D31DA"/>
    <w:rsid w:val="007D72C5"/>
    <w:rsid w:val="007E525D"/>
    <w:rsid w:val="007E688F"/>
    <w:rsid w:val="007E7AA0"/>
    <w:rsid w:val="007E7BFE"/>
    <w:rsid w:val="007F0323"/>
    <w:rsid w:val="007F379E"/>
    <w:rsid w:val="007F471C"/>
    <w:rsid w:val="007F5E4B"/>
    <w:rsid w:val="00800C90"/>
    <w:rsid w:val="008125F8"/>
    <w:rsid w:val="00823002"/>
    <w:rsid w:val="00840764"/>
    <w:rsid w:val="00844B1D"/>
    <w:rsid w:val="00844F5C"/>
    <w:rsid w:val="00845843"/>
    <w:rsid w:val="00846D34"/>
    <w:rsid w:val="00847191"/>
    <w:rsid w:val="00854447"/>
    <w:rsid w:val="008637EC"/>
    <w:rsid w:val="00870BC6"/>
    <w:rsid w:val="0088036D"/>
    <w:rsid w:val="00881155"/>
    <w:rsid w:val="00882892"/>
    <w:rsid w:val="00885A14"/>
    <w:rsid w:val="0088689B"/>
    <w:rsid w:val="00890FA0"/>
    <w:rsid w:val="00892068"/>
    <w:rsid w:val="008947BF"/>
    <w:rsid w:val="00895C87"/>
    <w:rsid w:val="008A214D"/>
    <w:rsid w:val="008A5B5C"/>
    <w:rsid w:val="008A72D2"/>
    <w:rsid w:val="008A74A3"/>
    <w:rsid w:val="008B6868"/>
    <w:rsid w:val="008B6D24"/>
    <w:rsid w:val="008C6417"/>
    <w:rsid w:val="008C6A43"/>
    <w:rsid w:val="008C715C"/>
    <w:rsid w:val="008D080C"/>
    <w:rsid w:val="008D6437"/>
    <w:rsid w:val="008D6EDF"/>
    <w:rsid w:val="008E3EF5"/>
    <w:rsid w:val="008F19E6"/>
    <w:rsid w:val="008F33B5"/>
    <w:rsid w:val="00906799"/>
    <w:rsid w:val="0090758E"/>
    <w:rsid w:val="009145D3"/>
    <w:rsid w:val="00915194"/>
    <w:rsid w:val="009173F8"/>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2ADF"/>
    <w:rsid w:val="009979F4"/>
    <w:rsid w:val="009A45B2"/>
    <w:rsid w:val="009A5585"/>
    <w:rsid w:val="009A59D5"/>
    <w:rsid w:val="009C2705"/>
    <w:rsid w:val="009C4ABD"/>
    <w:rsid w:val="009C5FDF"/>
    <w:rsid w:val="009D2DDD"/>
    <w:rsid w:val="009D6E0E"/>
    <w:rsid w:val="009F22A4"/>
    <w:rsid w:val="00A10DA6"/>
    <w:rsid w:val="00A151E9"/>
    <w:rsid w:val="00A15DBB"/>
    <w:rsid w:val="00A20F5C"/>
    <w:rsid w:val="00A259F2"/>
    <w:rsid w:val="00A33802"/>
    <w:rsid w:val="00A37162"/>
    <w:rsid w:val="00A37E51"/>
    <w:rsid w:val="00A42462"/>
    <w:rsid w:val="00A53690"/>
    <w:rsid w:val="00A62D31"/>
    <w:rsid w:val="00A63380"/>
    <w:rsid w:val="00A865C7"/>
    <w:rsid w:val="00A96A7A"/>
    <w:rsid w:val="00A97E3B"/>
    <w:rsid w:val="00AA20A1"/>
    <w:rsid w:val="00AA41F2"/>
    <w:rsid w:val="00AA7B43"/>
    <w:rsid w:val="00AB039E"/>
    <w:rsid w:val="00AB4206"/>
    <w:rsid w:val="00AC6C84"/>
    <w:rsid w:val="00AC7E54"/>
    <w:rsid w:val="00AD7847"/>
    <w:rsid w:val="00AE6A4E"/>
    <w:rsid w:val="00AE7B98"/>
    <w:rsid w:val="00AF129F"/>
    <w:rsid w:val="00AF343C"/>
    <w:rsid w:val="00AF4531"/>
    <w:rsid w:val="00B03CAF"/>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5CC"/>
    <w:rsid w:val="00B92842"/>
    <w:rsid w:val="00BA2713"/>
    <w:rsid w:val="00BA2941"/>
    <w:rsid w:val="00BA4C61"/>
    <w:rsid w:val="00BA5769"/>
    <w:rsid w:val="00BA627A"/>
    <w:rsid w:val="00BB22FA"/>
    <w:rsid w:val="00BC1688"/>
    <w:rsid w:val="00BC676B"/>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14380"/>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2B45"/>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0FC1"/>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000A"/>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15F0"/>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2"/>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244AF2"/>
    <w:rPr>
      <w:color w:val="000000" w:themeColor="text1"/>
    </w:rPr>
  </w:style>
  <w:style w:type="paragraph" w:customStyle="1" w:styleId="SAABullets">
    <w:name w:val="SAA Bullets"/>
    <w:basedOn w:val="ListBullet"/>
    <w:link w:val="SAABulletsChar"/>
    <w:qFormat/>
    <w:rsid w:val="00244AF2"/>
    <w:pPr>
      <w:numPr>
        <w:numId w:val="10"/>
      </w:numPr>
    </w:pPr>
  </w:style>
  <w:style w:type="character" w:customStyle="1" w:styleId="SAABodytextChar">
    <w:name w:val="SAA Body text Char"/>
    <w:basedOn w:val="DefaultParagraphFont"/>
    <w:link w:val="SAABodytext"/>
    <w:locked/>
    <w:rsid w:val="00244AF2"/>
  </w:style>
  <w:style w:type="paragraph" w:customStyle="1" w:styleId="SAABodytext">
    <w:name w:val="SAA Body text"/>
    <w:basedOn w:val="Normal"/>
    <w:link w:val="SAABodytextChar"/>
    <w:qFormat/>
    <w:rsid w:val="00244AF2"/>
    <w:pPr>
      <w:numPr>
        <w:numId w:val="0"/>
      </w:numPr>
    </w:pPr>
  </w:style>
  <w:style w:type="character" w:customStyle="1" w:styleId="SAAMoreLessChar">
    <w:name w:val="SAA More Less Char"/>
    <w:basedOn w:val="DefaultParagraphFont"/>
    <w:link w:val="SAAMoreLess"/>
    <w:locked/>
    <w:rsid w:val="00604F0D"/>
    <w:rPr>
      <w:i/>
      <w:iCs/>
      <w:color w:val="000000" w:themeColor="text1"/>
    </w:rPr>
  </w:style>
  <w:style w:type="paragraph" w:customStyle="1" w:styleId="SAAMoreLess">
    <w:name w:val="SAA More Less"/>
    <w:basedOn w:val="ListBullet"/>
    <w:link w:val="SAAMoreLessChar"/>
    <w:qFormat/>
    <w:rsid w:val="00604F0D"/>
    <w:pPr>
      <w:numPr>
        <w:numId w:val="0"/>
      </w:numPr>
      <w:ind w:left="357" w:hanging="357"/>
    </w:pPr>
    <w:rPr>
      <w:i/>
      <w:iCs/>
    </w:rPr>
  </w:style>
  <w:style w:type="character" w:customStyle="1" w:styleId="SAAHeading2Char">
    <w:name w:val="SAA Heading 2 Char"/>
    <w:basedOn w:val="DefaultParagraphFont"/>
    <w:link w:val="SAAHeading2"/>
    <w:locked/>
    <w:rsid w:val="00244AF2"/>
    <w:rPr>
      <w:rFonts w:ascii="Roboto Medium" w:eastAsiaTheme="majorEastAsia" w:hAnsi="Roboto Medium" w:cstheme="majorBidi"/>
      <w:bCs/>
      <w:color w:val="000000" w:themeColor="text1"/>
      <w:sz w:val="24"/>
      <w:szCs w:val="26"/>
    </w:rPr>
  </w:style>
  <w:style w:type="paragraph" w:customStyle="1" w:styleId="SAAHeading2">
    <w:name w:val="SAA Heading 2"/>
    <w:basedOn w:val="Normal"/>
    <w:link w:val="SAAHeading2Char"/>
    <w:qFormat/>
    <w:rsid w:val="00244AF2"/>
    <w:pPr>
      <w:keepNext/>
      <w:keepLines/>
      <w:numPr>
        <w:numId w:val="0"/>
      </w:numPr>
      <w:spacing w:before="360"/>
      <w:outlineLvl w:val="1"/>
    </w:pPr>
    <w:rPr>
      <w:rFonts w:ascii="Roboto Medium" w:eastAsiaTheme="majorEastAsia" w:hAnsi="Roboto Medium" w:cstheme="majorBidi"/>
      <w:bCs/>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91776280">
      <w:bodyDiv w:val="1"/>
      <w:marLeft w:val="0"/>
      <w:marRight w:val="0"/>
      <w:marTop w:val="0"/>
      <w:marBottom w:val="0"/>
      <w:divBdr>
        <w:top w:val="none" w:sz="0" w:space="0" w:color="auto"/>
        <w:left w:val="none" w:sz="0" w:space="0" w:color="auto"/>
        <w:bottom w:val="none" w:sz="0" w:space="0" w:color="auto"/>
        <w:right w:val="none" w:sz="0" w:space="0" w:color="auto"/>
      </w:divBdr>
    </w:div>
    <w:div w:id="628243098">
      <w:bodyDiv w:val="1"/>
      <w:marLeft w:val="0"/>
      <w:marRight w:val="0"/>
      <w:marTop w:val="0"/>
      <w:marBottom w:val="0"/>
      <w:divBdr>
        <w:top w:val="none" w:sz="0" w:space="0" w:color="auto"/>
        <w:left w:val="none" w:sz="0" w:space="0" w:color="auto"/>
        <w:bottom w:val="none" w:sz="0" w:space="0" w:color="auto"/>
        <w:right w:val="none" w:sz="0" w:space="0" w:color="auto"/>
      </w:divBdr>
    </w:div>
    <w:div w:id="715549058">
      <w:bodyDiv w:val="1"/>
      <w:marLeft w:val="0"/>
      <w:marRight w:val="0"/>
      <w:marTop w:val="0"/>
      <w:marBottom w:val="0"/>
      <w:divBdr>
        <w:top w:val="none" w:sz="0" w:space="0" w:color="auto"/>
        <w:left w:val="none" w:sz="0" w:space="0" w:color="auto"/>
        <w:bottom w:val="none" w:sz="0" w:space="0" w:color="auto"/>
        <w:right w:val="none" w:sz="0" w:space="0" w:color="auto"/>
      </w:divBdr>
    </w:div>
    <w:div w:id="725111027">
      <w:bodyDiv w:val="1"/>
      <w:marLeft w:val="0"/>
      <w:marRight w:val="0"/>
      <w:marTop w:val="0"/>
      <w:marBottom w:val="0"/>
      <w:divBdr>
        <w:top w:val="none" w:sz="0" w:space="0" w:color="auto"/>
        <w:left w:val="none" w:sz="0" w:space="0" w:color="auto"/>
        <w:bottom w:val="none" w:sz="0" w:space="0" w:color="auto"/>
        <w:right w:val="none" w:sz="0" w:space="0" w:color="auto"/>
      </w:divBdr>
    </w:div>
    <w:div w:id="80107287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8083083">
      <w:bodyDiv w:val="1"/>
      <w:marLeft w:val="0"/>
      <w:marRight w:val="0"/>
      <w:marTop w:val="0"/>
      <w:marBottom w:val="0"/>
      <w:divBdr>
        <w:top w:val="none" w:sz="0" w:space="0" w:color="auto"/>
        <w:left w:val="none" w:sz="0" w:space="0" w:color="auto"/>
        <w:bottom w:val="none" w:sz="0" w:space="0" w:color="auto"/>
        <w:right w:val="none" w:sz="0" w:space="0" w:color="auto"/>
      </w:divBdr>
    </w:div>
    <w:div w:id="1272519656">
      <w:bodyDiv w:val="1"/>
      <w:marLeft w:val="0"/>
      <w:marRight w:val="0"/>
      <w:marTop w:val="0"/>
      <w:marBottom w:val="0"/>
      <w:divBdr>
        <w:top w:val="none" w:sz="0" w:space="0" w:color="auto"/>
        <w:left w:val="none" w:sz="0" w:space="0" w:color="auto"/>
        <w:bottom w:val="none" w:sz="0" w:space="0" w:color="auto"/>
        <w:right w:val="none" w:sz="0" w:space="0" w:color="auto"/>
      </w:divBdr>
    </w:div>
    <w:div w:id="1372538053">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92087462">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857963534">
      <w:bodyDiv w:val="1"/>
      <w:marLeft w:val="0"/>
      <w:marRight w:val="0"/>
      <w:marTop w:val="0"/>
      <w:marBottom w:val="0"/>
      <w:divBdr>
        <w:top w:val="none" w:sz="0" w:space="0" w:color="auto"/>
        <w:left w:val="none" w:sz="0" w:space="0" w:color="auto"/>
        <w:bottom w:val="none" w:sz="0" w:space="0" w:color="auto"/>
        <w:right w:val="none" w:sz="0" w:space="0" w:color="auto"/>
      </w:divBdr>
    </w:div>
    <w:div w:id="1937857346">
      <w:bodyDiv w:val="1"/>
      <w:marLeft w:val="0"/>
      <w:marRight w:val="0"/>
      <w:marTop w:val="0"/>
      <w:marBottom w:val="0"/>
      <w:divBdr>
        <w:top w:val="none" w:sz="0" w:space="0" w:color="auto"/>
        <w:left w:val="none" w:sz="0" w:space="0" w:color="auto"/>
        <w:bottom w:val="none" w:sz="0" w:space="0" w:color="auto"/>
        <w:right w:val="none" w:sz="0" w:space="0" w:color="auto"/>
      </w:divBdr>
    </w:div>
    <w:div w:id="1951234018">
      <w:bodyDiv w:val="1"/>
      <w:marLeft w:val="0"/>
      <w:marRight w:val="0"/>
      <w:marTop w:val="0"/>
      <w:marBottom w:val="0"/>
      <w:divBdr>
        <w:top w:val="none" w:sz="0" w:space="0" w:color="auto"/>
        <w:left w:val="none" w:sz="0" w:space="0" w:color="auto"/>
        <w:bottom w:val="none" w:sz="0" w:space="0" w:color="auto"/>
        <w:right w:val="none" w:sz="0" w:space="0" w:color="auto"/>
      </w:divBdr>
    </w:div>
    <w:div w:id="19814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A1669255</value>
    </field>
    <field name="Objective-Title">
      <value order="0">2025 Integrated Learning Subject Assessment Advice</value>
    </field>
    <field name="Objective-Description">
      <value order="0"/>
    </field>
    <field name="Objective-CreationStamp">
      <value order="0">2025-12-22T00:32:14Z</value>
    </field>
    <field name="Objective-IsApproved">
      <value order="0">false</value>
    </field>
    <field name="Objective-IsPublished">
      <value order="0">true</value>
    </field>
    <field name="Objective-DatePublished">
      <value order="0">2025-12-22T04:01:03Z</value>
    </field>
    <field name="Objective-ModificationStamp">
      <value order="0">2025-12-22T04:01:25Z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vA2423639</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4</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2026-01-07T00:51:00Z</dcterms:created>
  <dcterms:modified xsi:type="dcterms:W3CDTF">2026-01-07T00:51:00Z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A1669255</vt:lpwstr>
  </property>
  <property fmtid="{D5CDD505-2E9C-101B-9397-08002B2CF9AE}" pid="14" name="Objective-Title">
    <vt:lpwstr>2025 Integrated Learning Subject Assessment Advice</vt:lpwstr>
  </property>
  <property fmtid="{D5CDD505-2E9C-101B-9397-08002B2CF9AE}" pid="15" name="Objective-Description">
    <vt:lpwstr/>
  </property>
  <property fmtid="{D5CDD505-2E9C-101B-9397-08002B2CF9AE}" pid="16" name="Objective-CreationStamp">
    <vt:filetime>2025-12-22T00:32:14Z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2025-12-22T04:01:03Z</vt:filetime>
  </property>
  <property fmtid="{D5CDD505-2E9C-101B-9397-08002B2CF9AE}" pid="20" name="Objective-ModificationStamp">
    <vt:filetime>2025-12-22T04:01:25Z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vA2423639</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