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F0E2A9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5670AA">
        <w:t>Geography</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A6D1492" w14:textId="123BF8C1" w:rsidR="00D647B7" w:rsidRPr="00D647B7" w:rsidRDefault="00D647B7" w:rsidP="00D647B7">
      <w:pPr>
        <w:pStyle w:val="SAAbullets"/>
        <w:rPr>
          <w:color w:val="000000" w:themeColor="text1"/>
        </w:rPr>
      </w:pPr>
      <w:r>
        <w:t>e</w:t>
      </w:r>
      <w:r w:rsidRPr="00D647B7">
        <w:t>nsuring all tasks sheets are include</w:t>
      </w:r>
      <w:r>
        <w:t>d</w:t>
      </w:r>
    </w:p>
    <w:p w14:paraId="65BAD238" w14:textId="040BB9BF" w:rsidR="00D647B7" w:rsidRPr="00D647B7" w:rsidRDefault="00D647B7" w:rsidP="00D647B7">
      <w:pPr>
        <w:pStyle w:val="SAAbullets"/>
        <w:rPr>
          <w:color w:val="000000" w:themeColor="text1"/>
        </w:rPr>
      </w:pPr>
      <w:r>
        <w:rPr>
          <w:color w:val="000000" w:themeColor="text1"/>
        </w:rPr>
        <w:t>ensuring a</w:t>
      </w:r>
      <w:r w:rsidRPr="00D647B7">
        <w:rPr>
          <w:color w:val="000000" w:themeColor="text1"/>
        </w:rPr>
        <w:t>udio files for PowerPoint presentations are includ</w:t>
      </w:r>
      <w:r w:rsidR="007F641B">
        <w:rPr>
          <w:color w:val="000000" w:themeColor="text1"/>
        </w:rPr>
        <w:t>ed</w:t>
      </w:r>
      <w:r w:rsidRPr="00D647B7">
        <w:rPr>
          <w:color w:val="000000" w:themeColor="text1"/>
        </w:rPr>
        <w:t xml:space="preserve"> with the presentation, not as a separate file, multimodal responses should have presentations and voiceovers incorporated</w:t>
      </w:r>
      <w:r w:rsidR="00364D85" w:rsidRPr="00D647B7">
        <w:rPr>
          <w:color w:val="000000" w:themeColor="text1"/>
        </w:rPr>
        <w:t>.</w:t>
      </w:r>
    </w:p>
    <w:p w14:paraId="5A086148" w14:textId="5CC77838" w:rsidR="00B30663" w:rsidRPr="00B30663" w:rsidRDefault="00B30663" w:rsidP="00B30663">
      <w:pPr>
        <w:pStyle w:val="Heading2NoNumber"/>
      </w:pPr>
      <w:r w:rsidRPr="00B30663">
        <w:t xml:space="preserve">Assessment Type 1: </w:t>
      </w:r>
      <w:r w:rsidR="00D647B7">
        <w:t>Skills and Applications</w:t>
      </w:r>
    </w:p>
    <w:p w14:paraId="4D6EF802" w14:textId="77777777" w:rsidR="00B30663" w:rsidRPr="00B30663" w:rsidRDefault="00B30663" w:rsidP="00B30663">
      <w:pPr>
        <w:rPr>
          <w:i/>
        </w:rPr>
      </w:pPr>
      <w:r w:rsidRPr="00B30663">
        <w:t>Teachers can elicit more successful responses by:</w:t>
      </w:r>
    </w:p>
    <w:p w14:paraId="4CD542D3" w14:textId="77777777" w:rsidR="00D647B7" w:rsidRDefault="00D647B7" w:rsidP="005670AA">
      <w:pPr>
        <w:pStyle w:val="SAAbullets"/>
      </w:pPr>
      <w:r>
        <w:t>including tasks that enable students to make decisions about the topics or geographical issues they have chosen</w:t>
      </w:r>
    </w:p>
    <w:p w14:paraId="2C718753" w14:textId="6540E0B6" w:rsidR="00D647B7" w:rsidRDefault="00D647B7" w:rsidP="005670AA">
      <w:pPr>
        <w:pStyle w:val="SAAbullets"/>
      </w:pPr>
      <w:r>
        <w:t>using a range of tasks to assess geographical skills such as map work, not relying on tests</w:t>
      </w:r>
    </w:p>
    <w:p w14:paraId="1A61397F" w14:textId="1FBE5EA0" w:rsidR="00D647B7" w:rsidRDefault="00D647B7" w:rsidP="005670AA">
      <w:pPr>
        <w:pStyle w:val="SAAbullets"/>
      </w:pPr>
      <w:r>
        <w:t>ensuring students use images and visual representations appropriately, relevant to the issue they are examining and referred to directly in their written analysis</w:t>
      </w:r>
    </w:p>
    <w:p w14:paraId="1EE77569" w14:textId="77777777" w:rsidR="00D647B7" w:rsidRDefault="00D647B7" w:rsidP="005670AA">
      <w:pPr>
        <w:pStyle w:val="SAAbullets"/>
      </w:pPr>
      <w:r>
        <w:t xml:space="preserve">providing opportunities for students to demonstrate their knowledge and understanding of case studies </w:t>
      </w:r>
    </w:p>
    <w:p w14:paraId="3090006E" w14:textId="77777777" w:rsidR="00D647B7" w:rsidRDefault="00D647B7" w:rsidP="005670AA">
      <w:pPr>
        <w:pStyle w:val="SAAbullets"/>
      </w:pPr>
      <w:r>
        <w:t>providing opportunities for students to demonstrate evidence of their learning through multimodal formats as well as more traditional written reports</w:t>
      </w:r>
    </w:p>
    <w:p w14:paraId="1F6D5A26" w14:textId="77777777" w:rsidR="00D647B7" w:rsidRDefault="00D647B7" w:rsidP="005670AA">
      <w:pPr>
        <w:pStyle w:val="SAAbullets"/>
      </w:pPr>
      <w:r>
        <w:t>ensuring students have a clear understanding of the geographical terminology relevant to each topic</w:t>
      </w:r>
    </w:p>
    <w:p w14:paraId="412823A5" w14:textId="5B0A2976" w:rsidR="00D647B7" w:rsidRDefault="00D647B7" w:rsidP="005670AA">
      <w:pPr>
        <w:pStyle w:val="SAAbullets"/>
      </w:pPr>
      <w:r>
        <w:t>ensuring students know how each part of an assessment tasks relates to the relevant performance standards</w:t>
      </w:r>
      <w:r w:rsidR="00364D85">
        <w:t xml:space="preserve">. </w:t>
      </w:r>
    </w:p>
    <w:p w14:paraId="77162E12" w14:textId="77777777" w:rsidR="00B30663" w:rsidRPr="00B30663" w:rsidRDefault="00B30663" w:rsidP="00B30663">
      <w:pPr>
        <w:rPr>
          <w:i/>
        </w:rPr>
      </w:pPr>
      <w:r w:rsidRPr="00B30663">
        <w:rPr>
          <w:i/>
        </w:rPr>
        <w:t>The more successful responses commonly:</w:t>
      </w:r>
    </w:p>
    <w:p w14:paraId="4206E6D7" w14:textId="37CAB530" w:rsidR="00D647B7" w:rsidRDefault="00D647B7" w:rsidP="00D647B7">
      <w:pPr>
        <w:pStyle w:val="SAAbullets"/>
        <w:rPr>
          <w:lang w:eastAsia="zh-CN"/>
        </w:rPr>
      </w:pPr>
      <w:r>
        <w:rPr>
          <w:lang w:eastAsia="zh-CN"/>
        </w:rPr>
        <w:t>clearly demonstrated how geographical ideas are interconnected by using a wide range of sources</w:t>
      </w:r>
      <w:r w:rsidR="00B06121">
        <w:rPr>
          <w:lang w:eastAsia="zh-CN"/>
        </w:rPr>
        <w:t xml:space="preserve"> </w:t>
      </w:r>
      <w:r>
        <w:rPr>
          <w:lang w:eastAsia="zh-CN"/>
        </w:rPr>
        <w:t>—</w:t>
      </w:r>
      <w:r w:rsidR="00B06121">
        <w:rPr>
          <w:lang w:eastAsia="zh-CN"/>
        </w:rPr>
        <w:t xml:space="preserve"> </w:t>
      </w:r>
      <w:r>
        <w:rPr>
          <w:lang w:eastAsia="zh-CN"/>
        </w:rPr>
        <w:t xml:space="preserve">maps, graphs, </w:t>
      </w:r>
      <w:r w:rsidR="00364D85">
        <w:rPr>
          <w:lang w:eastAsia="zh-CN"/>
        </w:rPr>
        <w:t>diagrams,</w:t>
      </w:r>
      <w:r>
        <w:rPr>
          <w:lang w:eastAsia="zh-CN"/>
        </w:rPr>
        <w:t xml:space="preserve"> and current data</w:t>
      </w:r>
      <w:r w:rsidR="00B06121">
        <w:rPr>
          <w:lang w:eastAsia="zh-CN"/>
        </w:rPr>
        <w:t xml:space="preserve"> </w:t>
      </w:r>
      <w:r>
        <w:rPr>
          <w:lang w:eastAsia="zh-CN"/>
        </w:rPr>
        <w:t>—</w:t>
      </w:r>
      <w:r w:rsidR="00B06121">
        <w:rPr>
          <w:lang w:eastAsia="zh-CN"/>
        </w:rPr>
        <w:t xml:space="preserve"> </w:t>
      </w:r>
      <w:r>
        <w:rPr>
          <w:lang w:eastAsia="zh-CN"/>
        </w:rPr>
        <w:t>to explain processes and causality rather than simply describe patterns</w:t>
      </w:r>
    </w:p>
    <w:p w14:paraId="1DD298FB" w14:textId="2EB6581D" w:rsidR="00D647B7" w:rsidRDefault="00D647B7" w:rsidP="00D647B7">
      <w:pPr>
        <w:pStyle w:val="SAAbullets"/>
        <w:rPr>
          <w:lang w:eastAsia="zh-CN"/>
        </w:rPr>
      </w:pPr>
      <w:r>
        <w:rPr>
          <w:lang w:eastAsia="zh-CN"/>
        </w:rPr>
        <w:t>selected relevant evidence from multiple sources and used it purposefully to show how factors influence one another, building clear links between causes, processes and outcomes</w:t>
      </w:r>
    </w:p>
    <w:p w14:paraId="3343849D" w14:textId="245F232F" w:rsidR="00D647B7" w:rsidRDefault="00D647B7" w:rsidP="00D647B7">
      <w:pPr>
        <w:pStyle w:val="SAAbullets"/>
        <w:rPr>
          <w:lang w:eastAsia="zh-CN"/>
        </w:rPr>
      </w:pPr>
      <w:r>
        <w:rPr>
          <w:lang w:eastAsia="zh-CN"/>
        </w:rPr>
        <w:t>incorporated up-to-date, specific data to strengthen their explanations and integrated information across sources to arrive at well-reasoned, evidence-based conclusions</w:t>
      </w:r>
    </w:p>
    <w:p w14:paraId="4043540D" w14:textId="712C40D2" w:rsidR="00D647B7" w:rsidRDefault="00D647B7" w:rsidP="00D647B7">
      <w:pPr>
        <w:pStyle w:val="SAAbullets"/>
        <w:rPr>
          <w:lang w:eastAsia="zh-CN"/>
        </w:rPr>
      </w:pPr>
      <w:r>
        <w:rPr>
          <w:lang w:eastAsia="zh-CN"/>
        </w:rPr>
        <w:t xml:space="preserve">commonly </w:t>
      </w:r>
      <w:r w:rsidR="00A94F89">
        <w:rPr>
          <w:lang w:eastAsia="zh-CN"/>
        </w:rPr>
        <w:t>incorporated</w:t>
      </w:r>
      <w:r>
        <w:rPr>
          <w:lang w:eastAsia="zh-CN"/>
        </w:rPr>
        <w:t xml:space="preserve"> well supported secondary resources to help clarify the student</w:t>
      </w:r>
      <w:r w:rsidR="00A94F89">
        <w:rPr>
          <w:lang w:eastAsia="zh-CN"/>
        </w:rPr>
        <w:t>’</w:t>
      </w:r>
      <w:r>
        <w:rPr>
          <w:lang w:eastAsia="zh-CN"/>
        </w:rPr>
        <w:t>s understanding and comprehensive knowledge of the subject</w:t>
      </w:r>
    </w:p>
    <w:p w14:paraId="71FC4877" w14:textId="1BC4A386" w:rsidR="00D647B7" w:rsidRDefault="00D647B7" w:rsidP="00D647B7">
      <w:pPr>
        <w:pStyle w:val="SAAbullets"/>
        <w:rPr>
          <w:lang w:eastAsia="zh-CN"/>
        </w:rPr>
      </w:pPr>
      <w:r>
        <w:rPr>
          <w:lang w:eastAsia="zh-CN"/>
        </w:rPr>
        <w:lastRenderedPageBreak/>
        <w:t>used the metalanguage appropriate with the subject and clearly understood the terms</w:t>
      </w:r>
    </w:p>
    <w:p w14:paraId="767503F3" w14:textId="6AF06CFE" w:rsidR="00D647B7" w:rsidRDefault="00D647B7" w:rsidP="00D647B7">
      <w:pPr>
        <w:pStyle w:val="SAAbullets"/>
        <w:rPr>
          <w:lang w:eastAsia="zh-CN"/>
        </w:rPr>
      </w:pPr>
      <w:r>
        <w:rPr>
          <w:lang w:eastAsia="zh-CN"/>
        </w:rPr>
        <w:t>supported their ideas with clear evidence and examples and used a variety and range of geographical fieldwork techniques not only in collecting data but the ability to display their findings, translating to a well analysed explanation highlighting trends and anomalies</w:t>
      </w:r>
    </w:p>
    <w:p w14:paraId="022571E6" w14:textId="77777777" w:rsidR="00D647B7" w:rsidRDefault="00D647B7" w:rsidP="00D647B7">
      <w:pPr>
        <w:pStyle w:val="SAAbullets"/>
        <w:rPr>
          <w:lang w:eastAsia="zh-CN"/>
        </w:rPr>
      </w:pPr>
      <w:r>
        <w:rPr>
          <w:lang w:eastAsia="zh-CN"/>
        </w:rPr>
        <w:t xml:space="preserve">had autonomy over their choice of geographical issue or location, creating originality in their work. </w:t>
      </w:r>
    </w:p>
    <w:p w14:paraId="69036CC7" w14:textId="77777777" w:rsidR="00B30663" w:rsidRPr="00B30663" w:rsidRDefault="00B30663" w:rsidP="00B30663">
      <w:pPr>
        <w:rPr>
          <w:i/>
        </w:rPr>
      </w:pPr>
      <w:r w:rsidRPr="00B30663">
        <w:rPr>
          <w:i/>
        </w:rPr>
        <w:t>The less successful responses commonly:</w:t>
      </w:r>
    </w:p>
    <w:p w14:paraId="5177CF71" w14:textId="1B4FC6AA" w:rsidR="00D647B7" w:rsidRDefault="00D647B7" w:rsidP="00D647B7">
      <w:pPr>
        <w:pStyle w:val="SAAbullets"/>
        <w:rPr>
          <w:rFonts w:ascii="Aptos Narrow" w:eastAsia="Times New Roman" w:hAnsi="Aptos Narrow" w:cs="Times New Roman"/>
          <w:sz w:val="22"/>
          <w:szCs w:val="22"/>
          <w:lang w:eastAsia="zh-CN"/>
        </w:rPr>
      </w:pPr>
      <w:r>
        <w:rPr>
          <w:lang w:eastAsia="zh-CN"/>
        </w:rPr>
        <w:t>tended to remain largely descriptive, outlining what the data showed without explaining the interconnections between patterns, processes and places</w:t>
      </w:r>
    </w:p>
    <w:p w14:paraId="7C5DF7EA" w14:textId="365DFCD8" w:rsidR="00D647B7" w:rsidRDefault="00D647B7" w:rsidP="00D647B7">
      <w:pPr>
        <w:pStyle w:val="SAAbullets"/>
        <w:rPr>
          <w:rFonts w:ascii="Aptos Narrow" w:eastAsia="Times New Roman" w:hAnsi="Aptos Narrow" w:cs="Times New Roman"/>
          <w:sz w:val="22"/>
          <w:szCs w:val="22"/>
          <w:lang w:eastAsia="zh-CN"/>
        </w:rPr>
      </w:pPr>
      <w:r>
        <w:rPr>
          <w:lang w:eastAsia="zh-CN"/>
        </w:rPr>
        <w:t>often presented information that was only loosely linked to relevant geographical concepts, resulting in explanations that lacked depth and clarity</w:t>
      </w:r>
    </w:p>
    <w:p w14:paraId="3BFCD25B" w14:textId="4EB9C68E" w:rsidR="00D647B7" w:rsidRDefault="00D647B7" w:rsidP="00D647B7">
      <w:pPr>
        <w:pStyle w:val="SAAbullets"/>
        <w:rPr>
          <w:rFonts w:ascii="Aptos Narrow" w:eastAsia="Times New Roman" w:hAnsi="Aptos Narrow" w:cs="Times New Roman"/>
          <w:sz w:val="22"/>
          <w:szCs w:val="22"/>
          <w:lang w:eastAsia="zh-CN"/>
        </w:rPr>
      </w:pPr>
      <w:r>
        <w:rPr>
          <w:lang w:eastAsia="zh-CN"/>
        </w:rPr>
        <w:t>although visuals such as maps and graphs were included, they were not actively used to support arguments or deliver meaningful analysis, functioning more as decoration than evidence</w:t>
      </w:r>
    </w:p>
    <w:p w14:paraId="6D1EBAC2" w14:textId="4803187E" w:rsidR="00D647B7" w:rsidRDefault="00D647B7" w:rsidP="00D647B7">
      <w:pPr>
        <w:pStyle w:val="SAAbullets"/>
        <w:rPr>
          <w:rFonts w:ascii="Aptos Narrow" w:eastAsia="Times New Roman" w:hAnsi="Aptos Narrow" w:cs="Times New Roman"/>
          <w:sz w:val="22"/>
          <w:szCs w:val="22"/>
          <w:lang w:eastAsia="zh-CN"/>
        </w:rPr>
      </w:pPr>
      <w:r>
        <w:rPr>
          <w:lang w:eastAsia="zh-CN"/>
        </w:rPr>
        <w:t>demonstrated limited use of geographical terminology, which weakened the precision and academic rigour of the response</w:t>
      </w:r>
    </w:p>
    <w:p w14:paraId="4EEF8C2D" w14:textId="49BFA59C" w:rsidR="00D647B7" w:rsidRDefault="00D647B7" w:rsidP="00D647B7">
      <w:pPr>
        <w:pStyle w:val="SAAbullets"/>
        <w:rPr>
          <w:rFonts w:ascii="Aptos Narrow" w:eastAsia="Times New Roman" w:hAnsi="Aptos Narrow" w:cs="Times New Roman"/>
          <w:sz w:val="22"/>
          <w:szCs w:val="22"/>
          <w:lang w:eastAsia="zh-CN"/>
        </w:rPr>
      </w:pPr>
      <w:r>
        <w:rPr>
          <w:lang w:eastAsia="zh-CN"/>
        </w:rPr>
        <w:t>rarely used any GIS to support written analysis.</w:t>
      </w:r>
    </w:p>
    <w:p w14:paraId="6162BC14" w14:textId="3FFC11D0" w:rsidR="00B30663" w:rsidRPr="00B30663" w:rsidRDefault="00B30663" w:rsidP="00B30663">
      <w:pPr>
        <w:pStyle w:val="Heading2NoNumber"/>
      </w:pPr>
      <w:r w:rsidRPr="00B30663">
        <w:t xml:space="preserve">Assessment Type 2: </w:t>
      </w:r>
      <w:r w:rsidR="00D647B7">
        <w:t>Fieldwork Report</w:t>
      </w:r>
    </w:p>
    <w:p w14:paraId="6CFDA494" w14:textId="77777777" w:rsidR="00B30663" w:rsidRPr="00B30663" w:rsidRDefault="00B30663" w:rsidP="00B30663">
      <w:pPr>
        <w:rPr>
          <w:i/>
        </w:rPr>
      </w:pPr>
      <w:r w:rsidRPr="00B30663">
        <w:t>Teachers can elicit more successful responses by:</w:t>
      </w:r>
    </w:p>
    <w:p w14:paraId="297B7A00" w14:textId="5746113A" w:rsidR="00D647B7" w:rsidRDefault="00D647B7" w:rsidP="00D647B7">
      <w:pPr>
        <w:pStyle w:val="SAAbullets"/>
      </w:pPr>
      <w:r>
        <w:t>ensuring students complete individual fieldwork based on their own selected topic or issue</w:t>
      </w:r>
      <w:r w:rsidR="00A94F89">
        <w:t>;</w:t>
      </w:r>
      <w:r>
        <w:t xml:space="preserve"> students should not be completing their fieldwork report on a whole class fieldwork excursion as this results in students completing the same data collection and often the same analysis</w:t>
      </w:r>
    </w:p>
    <w:p w14:paraId="01042121" w14:textId="48278751" w:rsidR="00D647B7" w:rsidRDefault="00D647B7" w:rsidP="00D647B7">
      <w:pPr>
        <w:pStyle w:val="SAAbullets"/>
      </w:pPr>
      <w:r>
        <w:t xml:space="preserve">teaching </w:t>
      </w:r>
      <w:r w:rsidR="00B67CA3">
        <w:t>students’</w:t>
      </w:r>
      <w:r>
        <w:t xml:space="preserve"> explicit data collection techniques beyond traffic and litter counts</w:t>
      </w:r>
      <w:r w:rsidR="00A94F89">
        <w:t>;</w:t>
      </w:r>
      <w:r>
        <w:t xml:space="preserve"> students should have a wide range and variety of data collection techniques at their disposal</w:t>
      </w:r>
    </w:p>
    <w:p w14:paraId="16779B46" w14:textId="38EA6D23" w:rsidR="00D647B7" w:rsidRDefault="00D647B7" w:rsidP="00D647B7">
      <w:pPr>
        <w:pStyle w:val="SAAbullets"/>
      </w:pPr>
      <w:r>
        <w:t>ensuring students select data collection techniques that are relevant to their selected hypothesis or inquiry question</w:t>
      </w:r>
    </w:p>
    <w:p w14:paraId="058C8D53" w14:textId="1E54DE8C" w:rsidR="00D647B7" w:rsidRDefault="00D647B7" w:rsidP="00D647B7">
      <w:pPr>
        <w:pStyle w:val="SAAbullets"/>
      </w:pPr>
      <w:r>
        <w:t>teaching students a variety of presentation and analysis techniques, including different types of graphs, maps and statistical tests</w:t>
      </w:r>
    </w:p>
    <w:p w14:paraId="7C164D4D" w14:textId="51101C84" w:rsidR="00D647B7" w:rsidRDefault="00D647B7" w:rsidP="00D647B7">
      <w:pPr>
        <w:pStyle w:val="SAAbullets"/>
      </w:pPr>
      <w:r>
        <w:t>ensuring students continually refer back to their hypothesis or inquiry question and are responding to it throughout the report not just in the conclusion</w:t>
      </w:r>
    </w:p>
    <w:p w14:paraId="7EA0889B" w14:textId="3E45FF03" w:rsidR="00D647B7" w:rsidRDefault="00D647B7" w:rsidP="00D647B7">
      <w:pPr>
        <w:pStyle w:val="SAAbullets"/>
      </w:pPr>
      <w:r>
        <w:t>ensuring students are not providing solutions if this is not relevant to their chosen hypothesis, nor evaluating the fieldwork techniques they have used.</w:t>
      </w:r>
    </w:p>
    <w:p w14:paraId="2789EA2B" w14:textId="77777777" w:rsidR="00B30663" w:rsidRPr="00B30663" w:rsidRDefault="00B30663" w:rsidP="00B30663">
      <w:pPr>
        <w:rPr>
          <w:i/>
        </w:rPr>
      </w:pPr>
      <w:r w:rsidRPr="00B30663">
        <w:rPr>
          <w:i/>
        </w:rPr>
        <w:t>The more successful responses commonly:</w:t>
      </w:r>
    </w:p>
    <w:p w14:paraId="1435A281" w14:textId="395EBDBF" w:rsidR="00D647B7" w:rsidRDefault="00D647B7" w:rsidP="00D647B7">
      <w:pPr>
        <w:pStyle w:val="SAAbullets"/>
      </w:pPr>
      <w:r>
        <w:t>used data collection methods that genuinely suited the hypothesis or main inquiry question, making sure every piece of information gathered actually helped answer the overall hypothesis or question</w:t>
      </w:r>
    </w:p>
    <w:p w14:paraId="68A7E5A2" w14:textId="6B43778A" w:rsidR="00D647B7" w:rsidRDefault="00D647B7" w:rsidP="00D647B7">
      <w:pPr>
        <w:pStyle w:val="SAAbullets"/>
      </w:pPr>
      <w:r>
        <w:t>presented their data clearly and accurately, choosing techniques that made sense for the type of data they had</w:t>
      </w:r>
      <w:r w:rsidR="00B06121">
        <w:t xml:space="preserve"> </w:t>
      </w:r>
      <w:r>
        <w:t>—</w:t>
      </w:r>
      <w:r w:rsidR="00B06121">
        <w:t xml:space="preserve"> </w:t>
      </w:r>
      <w:r>
        <w:t>like GIS, proportional symbols, choropleth maps, bi-polar analysis, transects or simple annotated sketches</w:t>
      </w:r>
    </w:p>
    <w:p w14:paraId="0C216F97" w14:textId="12847FEA" w:rsidR="00D647B7" w:rsidRDefault="00D647B7" w:rsidP="00D647B7">
      <w:pPr>
        <w:pStyle w:val="SAAbullets"/>
      </w:pPr>
      <w:r>
        <w:t>in the analysis, students continually returned back to the hypothesis, using their evidence to confirm, challenge or adjust their initial ideas</w:t>
      </w:r>
    </w:p>
    <w:p w14:paraId="79C2B15E" w14:textId="002BED08" w:rsidR="00D647B7" w:rsidRDefault="00D647B7" w:rsidP="00D647B7">
      <w:pPr>
        <w:pStyle w:val="SAAbullets"/>
      </w:pPr>
      <w:r>
        <w:t>referred their findings to geographical theory or well-known examples, showing a deeper understanding by linking what they saw in the field with broader geographical patterns and processes</w:t>
      </w:r>
    </w:p>
    <w:p w14:paraId="3D1B6839" w14:textId="52C3DCA8" w:rsidR="00D647B7" w:rsidRDefault="00762813" w:rsidP="00D647B7">
      <w:pPr>
        <w:pStyle w:val="SAAbullets"/>
      </w:pPr>
      <w:r>
        <w:t>s</w:t>
      </w:r>
      <w:r w:rsidR="00D647B7">
        <w:t>elected an appropriate geographical concept or issue to investigate and provided background information about the topic in the introduction</w:t>
      </w:r>
    </w:p>
    <w:p w14:paraId="5F7A1CF6" w14:textId="14F1449A" w:rsidR="00D647B7" w:rsidRDefault="00762813" w:rsidP="00D647B7">
      <w:pPr>
        <w:pStyle w:val="SAAbullets"/>
      </w:pPr>
      <w:r>
        <w:t>d</w:t>
      </w:r>
      <w:r w:rsidR="00D647B7">
        <w:t>emonstrated a greater variety of primary data</w:t>
      </w:r>
      <w:r w:rsidR="00A94F89">
        <w:t>,</w:t>
      </w:r>
      <w:r w:rsidR="00D647B7">
        <w:t xml:space="preserve"> enabling students to carry out detailed and comprehensive analysis of their results, with the most successful students covering a range of presentation and analysis techniques. The most able students conducted statistical testing of their data at a deep rather than superficial level, understanding what they were attempting to prove.</w:t>
      </w:r>
    </w:p>
    <w:p w14:paraId="653A2F39" w14:textId="77777777" w:rsidR="005670AA" w:rsidRDefault="005670AA" w:rsidP="005670AA">
      <w:pPr>
        <w:pStyle w:val="SAAbullets"/>
        <w:numPr>
          <w:ilvl w:val="0"/>
          <w:numId w:val="0"/>
        </w:numPr>
        <w:ind w:left="357"/>
      </w:pPr>
    </w:p>
    <w:p w14:paraId="6CB0E087" w14:textId="3B126AB2" w:rsidR="00B30663" w:rsidRPr="00B30663" w:rsidRDefault="00B30663" w:rsidP="00B30663">
      <w:pPr>
        <w:rPr>
          <w:i/>
        </w:rPr>
      </w:pPr>
      <w:r w:rsidRPr="00B30663">
        <w:rPr>
          <w:i/>
        </w:rPr>
        <w:lastRenderedPageBreak/>
        <w:t>The less successful responses commonly:</w:t>
      </w:r>
    </w:p>
    <w:p w14:paraId="172AB2F8" w14:textId="1CA92C5F" w:rsidR="00D647B7" w:rsidRDefault="00D647B7" w:rsidP="00D647B7">
      <w:pPr>
        <w:pStyle w:val="SAAbullets"/>
      </w:pPr>
      <w:r>
        <w:t>did not meet the requirements for the fieldwork report to be individual, where students had conducted whole class fieldwork, leading to many similar reports with the same data collection, presentation, and analysis techniques</w:t>
      </w:r>
    </w:p>
    <w:p w14:paraId="5C208818" w14:textId="02A41E15" w:rsidR="00D647B7" w:rsidRDefault="00D647B7" w:rsidP="00D647B7">
      <w:pPr>
        <w:pStyle w:val="SAAbullets"/>
      </w:pPr>
      <w:r>
        <w:t>had limited primary data collection, perhaps only one or two techniques or repetition of the same technique</w:t>
      </w:r>
      <w:r w:rsidR="00B06121">
        <w:t xml:space="preserve">, </w:t>
      </w:r>
      <w:r>
        <w:t xml:space="preserve">e.g. litter, </w:t>
      </w:r>
      <w:r w:rsidR="00364D85">
        <w:t>traffic,</w:t>
      </w:r>
      <w:r>
        <w:t xml:space="preserve"> and pedestrian counts. This led to limited analysis of their results</w:t>
      </w:r>
    </w:p>
    <w:p w14:paraId="6711DCCE" w14:textId="3498DC4A" w:rsidR="00D647B7" w:rsidRDefault="00D647B7" w:rsidP="00D647B7">
      <w:pPr>
        <w:pStyle w:val="SAAbullets"/>
      </w:pPr>
      <w:r>
        <w:t xml:space="preserve">had attempted statistics, but these were out of context and superficial with students not really understanding what they were testing and why </w:t>
      </w:r>
    </w:p>
    <w:p w14:paraId="3350ADBE" w14:textId="6747D560" w:rsidR="00D647B7" w:rsidRDefault="00D647B7" w:rsidP="00D647B7">
      <w:pPr>
        <w:pStyle w:val="SAAbullets"/>
      </w:pPr>
      <w:r>
        <w:t xml:space="preserve">relied too heavily on secondary data, even when their analysis of it was strong, which is contrary to the individual fieldwork report, where primary data should be the main source of evidence </w:t>
      </w:r>
    </w:p>
    <w:p w14:paraId="392622DF" w14:textId="06E1888A" w:rsidR="00D647B7" w:rsidRDefault="00D647B7" w:rsidP="00D647B7">
      <w:pPr>
        <w:pStyle w:val="SAAbullets"/>
      </w:pPr>
      <w:r>
        <w:t>often had inappropriate</w:t>
      </w:r>
      <w:r w:rsidRPr="00D647B7">
        <w:t xml:space="preserve"> </w:t>
      </w:r>
      <w:r>
        <w:t>data collection methods, leaving little original material to interpret. As a result, the discussion tended to be mostly descriptive, with findings not benchmarked against geographical theory or supported by meaningful comparison to known examples. This limited the depth and rigour of their conclusions.</w:t>
      </w:r>
    </w:p>
    <w:p w14:paraId="5C4870E8" w14:textId="5AFCCB73" w:rsidR="00B30663" w:rsidRPr="00B30663" w:rsidRDefault="00CC0708" w:rsidP="00B30663">
      <w:pPr>
        <w:pStyle w:val="Heading1"/>
      </w:pPr>
      <w:r>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40B885CE" w14:textId="153FB947" w:rsidR="008C4B41" w:rsidRDefault="008C4B41" w:rsidP="008C4B41">
      <w:pPr>
        <w:pStyle w:val="SAAbullets"/>
      </w:pPr>
      <w:r>
        <w:t>ensuring students</w:t>
      </w:r>
      <w:r>
        <w:rPr>
          <w:rFonts w:ascii="Roboto Medium" w:eastAsiaTheme="majorEastAsia" w:hAnsi="Roboto Medium" w:cstheme="majorBidi"/>
          <w:bCs/>
          <w:sz w:val="24"/>
          <w:szCs w:val="26"/>
        </w:rPr>
        <w:t xml:space="preserve"> </w:t>
      </w:r>
      <w:r>
        <w:t>have studied a variety of case</w:t>
      </w:r>
      <w:r>
        <w:rPr>
          <w:rFonts w:ascii="Roboto Medium" w:eastAsiaTheme="majorEastAsia" w:hAnsi="Roboto Medium" w:cstheme="majorBidi"/>
          <w:bCs/>
          <w:sz w:val="24"/>
          <w:szCs w:val="26"/>
        </w:rPr>
        <w:t xml:space="preserve"> </w:t>
      </w:r>
      <w:r>
        <w:t>study</w:t>
      </w:r>
      <w:r>
        <w:rPr>
          <w:rFonts w:ascii="Roboto Medium" w:eastAsiaTheme="majorEastAsia" w:hAnsi="Roboto Medium" w:cstheme="majorBidi"/>
          <w:bCs/>
          <w:sz w:val="24"/>
          <w:szCs w:val="26"/>
        </w:rPr>
        <w:t xml:space="preserve"> </w:t>
      </w:r>
      <w:r>
        <w:t xml:space="preserve">examples in detail for each of the examinable topics: population and </w:t>
      </w:r>
      <w:r w:rsidR="00B34D55">
        <w:t>ecosystems</w:t>
      </w:r>
      <w:r w:rsidR="00A94F89">
        <w:t>,</w:t>
      </w:r>
      <w:r w:rsidR="00B34D55">
        <w:t xml:space="preserve"> and</w:t>
      </w:r>
      <w:r>
        <w:t xml:space="preserve"> have practice in responding to case study exam questions as preparation</w:t>
      </w:r>
    </w:p>
    <w:p w14:paraId="01F205EF" w14:textId="3D17EC94" w:rsidR="008C4B41" w:rsidRDefault="008C4B41" w:rsidP="008C4B41">
      <w:pPr>
        <w:pStyle w:val="SAAbullets"/>
      </w:pPr>
      <w:r>
        <w:t>making sure that students have been taught a range of map skills and fieldwork techniques (beyond those required for their individual fieldwork report)</w:t>
      </w:r>
    </w:p>
    <w:p w14:paraId="3CDA49FC" w14:textId="6ADE844F" w:rsidR="008C4B41" w:rsidRDefault="00B26878" w:rsidP="008C4B41">
      <w:pPr>
        <w:pStyle w:val="SAAbullets"/>
      </w:pPr>
      <w:r>
        <w:t xml:space="preserve">ensuring </w:t>
      </w:r>
      <w:r w:rsidR="00364D85">
        <w:t>s</w:t>
      </w:r>
      <w:r w:rsidR="008C4B41">
        <w:t>tudents have exposure to a variety of map types, including those with different scales.</w:t>
      </w:r>
    </w:p>
    <w:p w14:paraId="7D3543D7" w14:textId="776B8592" w:rsidR="00B30663" w:rsidRPr="00B30663" w:rsidRDefault="00B30663" w:rsidP="00B30663">
      <w:pPr>
        <w:pStyle w:val="Heading2NoNumber"/>
      </w:pPr>
      <w:r w:rsidRPr="00B30663">
        <w:t xml:space="preserve">Assessment Type 3: </w:t>
      </w:r>
      <w:r w:rsidR="00B34D55">
        <w:t>Examination</w:t>
      </w:r>
    </w:p>
    <w:p w14:paraId="49E0868A" w14:textId="20E484F6" w:rsidR="00B34D55" w:rsidRPr="00B34D55" w:rsidRDefault="00B34D55" w:rsidP="00B34D55">
      <w:pPr>
        <w:pStyle w:val="SAAbody"/>
      </w:pPr>
      <w:r w:rsidRPr="00B34D55">
        <w:t xml:space="preserve">For the most part, the exam was well answered, students who knew their map skills, fieldwork techniques and case study information were able to achieve highly. The paper was accessible to a range of academic abilities, with most students able to achieve at least half marks in most questions. Only a very small number of students left questions completely blank, and most were able to provide some answers to each of the questions. </w:t>
      </w:r>
      <w:r w:rsidR="00A94F89">
        <w:t>Extended response</w:t>
      </w:r>
      <w:r w:rsidRPr="00B34D55">
        <w:t xml:space="preserve"> questions, as detailed below, enabled those students with detailed knowledge, particularly of case studies, to demonstrate their thorough knowledge and understanding and detailed analysis and evaluation of geographical issues. </w:t>
      </w:r>
    </w:p>
    <w:p w14:paraId="3D6D9D6F" w14:textId="77777777" w:rsidR="00B34D55" w:rsidRPr="00B34D55" w:rsidRDefault="00B34D55" w:rsidP="00B34D55">
      <w:pPr>
        <w:pStyle w:val="SAAQuestion"/>
        <w:rPr>
          <w:rFonts w:ascii="Roboto Light" w:eastAsia="Roboto Light" w:hAnsi="Roboto Light"/>
          <w:color w:val="auto"/>
        </w:rPr>
      </w:pPr>
      <w:r w:rsidRPr="00B34D55">
        <w:t>Question 1</w:t>
      </w:r>
    </w:p>
    <w:p w14:paraId="45963992" w14:textId="0CD8ED60" w:rsidR="00B34D55" w:rsidRPr="00B34D55" w:rsidRDefault="00364D85" w:rsidP="00B34D55">
      <w:pPr>
        <w:pStyle w:val="SAAbody"/>
      </w:pPr>
      <w:r>
        <w:t>All students answered t</w:t>
      </w:r>
      <w:r w:rsidR="00B34D55" w:rsidRPr="00B34D55">
        <w:t>his question well, with almost 100% of students achieving full marks.</w:t>
      </w:r>
    </w:p>
    <w:p w14:paraId="139F5721" w14:textId="77777777" w:rsidR="00B34D55" w:rsidRPr="00B34D55" w:rsidRDefault="00B34D55" w:rsidP="00B34D55">
      <w:pPr>
        <w:pStyle w:val="SAAQuestion"/>
        <w:rPr>
          <w:rFonts w:ascii="Roboto Light" w:eastAsia="Roboto Light" w:hAnsi="Roboto Light"/>
          <w:color w:val="000000"/>
        </w:rPr>
      </w:pPr>
      <w:r w:rsidRPr="00B34D55">
        <w:t>Question 2</w:t>
      </w:r>
    </w:p>
    <w:p w14:paraId="3054BC71" w14:textId="088C0C5D" w:rsidR="00B34D55" w:rsidRPr="00B34D55" w:rsidRDefault="00B34D55" w:rsidP="00B34D55">
      <w:pPr>
        <w:pStyle w:val="SAAbody"/>
      </w:pPr>
      <w:r w:rsidRPr="00B34D55">
        <w:t>Part a proved to be straightforward, with over half of the students achieving full marks, some did repeat the same point twice rather than providing uniquely different pieces of evidence of flooding in the area.</w:t>
      </w:r>
    </w:p>
    <w:p w14:paraId="2F2B5CEC" w14:textId="02FE4D49" w:rsidR="00B34D55" w:rsidRPr="00B34D55" w:rsidRDefault="00B34D55" w:rsidP="00B34D55">
      <w:pPr>
        <w:pStyle w:val="SAAbody"/>
      </w:pPr>
      <w:r w:rsidRPr="00B34D55">
        <w:t>Part b proved more challenging with some students not providing information for land use other than travelling through a settlement</w:t>
      </w:r>
      <w:r w:rsidR="001800AF">
        <w:t>.</w:t>
      </w:r>
      <w:r w:rsidRPr="00B34D55">
        <w:t xml:space="preserve"> </w:t>
      </w:r>
      <w:r w:rsidR="001800AF">
        <w:t>Many</w:t>
      </w:r>
      <w:r w:rsidRPr="00B34D55">
        <w:t xml:space="preserve"> students were unable to use the map scale to correctly work out distances travelled.</w:t>
      </w:r>
    </w:p>
    <w:p w14:paraId="5C2E37ED" w14:textId="59DBD00B" w:rsidR="00B34D55" w:rsidRPr="00B34D55" w:rsidRDefault="00B34D55" w:rsidP="00B34D55">
      <w:pPr>
        <w:pStyle w:val="SAAQuestion"/>
        <w:rPr>
          <w:rFonts w:ascii="Roboto Light" w:eastAsia="Roboto Light" w:hAnsi="Roboto Light"/>
          <w:color w:val="000000"/>
        </w:rPr>
      </w:pPr>
      <w:r w:rsidRPr="00B34D55">
        <w:t>Question</w:t>
      </w:r>
      <w:r w:rsidR="005670AA">
        <w:t xml:space="preserve"> </w:t>
      </w:r>
      <w:r w:rsidRPr="00B34D55">
        <w:t>3</w:t>
      </w:r>
    </w:p>
    <w:p w14:paraId="2D989D22" w14:textId="74245AE2" w:rsidR="00B34D55" w:rsidRPr="00B34D55" w:rsidRDefault="00B34D55" w:rsidP="00B34D55">
      <w:pPr>
        <w:spacing w:before="120"/>
        <w:rPr>
          <w:rFonts w:eastAsia="Roboto Light" w:cs="Angsana New"/>
        </w:rPr>
      </w:pPr>
      <w:r w:rsidRPr="00B34D55">
        <w:rPr>
          <w:rFonts w:eastAsia="Roboto Light" w:cs="Angsana New"/>
        </w:rPr>
        <w:t>A significant number of students successfully compared and contrasted the photograph and cross-section, providing advantages and disadvantages for both. In part b, most students were able to identify settlement patterns such as clustered and nucleated but some had difficulty in relating this to the shape of the landscape.</w:t>
      </w:r>
      <w:r w:rsidRPr="00B34D55">
        <w:rPr>
          <w:rFonts w:ascii="Roboto Medium" w:eastAsia="SimHei" w:hAnsi="Roboto Medium" w:cs="Angsana New"/>
          <w:bCs/>
          <w:color w:val="000000" w:themeColor="text1"/>
          <w:sz w:val="24"/>
          <w:szCs w:val="26"/>
        </w:rPr>
        <w:t xml:space="preserve"> </w:t>
      </w:r>
    </w:p>
    <w:p w14:paraId="3B01B325" w14:textId="77777777" w:rsidR="00B34D55" w:rsidRPr="00B34D55" w:rsidRDefault="00B34D55" w:rsidP="00B34D55">
      <w:pPr>
        <w:pStyle w:val="SAAQuestion"/>
        <w:rPr>
          <w:rFonts w:ascii="Roboto Light" w:eastAsia="Roboto Light" w:hAnsi="Roboto Light"/>
          <w:color w:val="000000"/>
        </w:rPr>
      </w:pPr>
      <w:r w:rsidRPr="00B34D55">
        <w:t>Question 4</w:t>
      </w:r>
    </w:p>
    <w:p w14:paraId="52D0DB32" w14:textId="4C06C6B4" w:rsidR="00B34D55" w:rsidRPr="00B34D55" w:rsidRDefault="00B34D55" w:rsidP="00B34D55">
      <w:pPr>
        <w:spacing w:before="120"/>
        <w:rPr>
          <w:rFonts w:eastAsia="Roboto Light" w:cs="Angsana New"/>
        </w:rPr>
      </w:pPr>
      <w:r w:rsidRPr="00B34D55">
        <w:rPr>
          <w:rFonts w:eastAsia="Roboto Light" w:cs="Angsana New"/>
        </w:rPr>
        <w:t xml:space="preserve">The most successful responses reflected understanding that the question was about advantages for the business not for the local area, for example located in the box as it is away from local residents is not an </w:t>
      </w:r>
      <w:r w:rsidRPr="00B34D55">
        <w:rPr>
          <w:rFonts w:eastAsia="Roboto Light" w:cs="Angsana New"/>
        </w:rPr>
        <w:lastRenderedPageBreak/>
        <w:t xml:space="preserve">advantage for the company rather it is for the residents in the area. Some repetition of open, flat land as an advantage meant that many students achieved 3 rather than 4 marks. </w:t>
      </w:r>
    </w:p>
    <w:p w14:paraId="7043A37E" w14:textId="77777777" w:rsidR="00B34D55" w:rsidRPr="00B34D55" w:rsidRDefault="00B34D55" w:rsidP="00B34D55">
      <w:pPr>
        <w:pStyle w:val="SAAQuestion"/>
        <w:rPr>
          <w:rFonts w:ascii="Roboto Light" w:eastAsia="Roboto Light" w:hAnsi="Roboto Light"/>
          <w:color w:val="000000"/>
        </w:rPr>
      </w:pPr>
      <w:r w:rsidRPr="00B34D55">
        <w:t>Question 5</w:t>
      </w:r>
    </w:p>
    <w:p w14:paraId="3175EFB2" w14:textId="146C21A0" w:rsidR="00B34D55" w:rsidRPr="00B34D55" w:rsidRDefault="00B34D55" w:rsidP="00B34D55">
      <w:pPr>
        <w:spacing w:before="120"/>
        <w:rPr>
          <w:rFonts w:eastAsia="Roboto Light" w:cs="Angsana New"/>
        </w:rPr>
      </w:pPr>
      <w:r w:rsidRPr="00B34D55">
        <w:rPr>
          <w:rFonts w:eastAsia="Roboto Light" w:cs="Angsana New"/>
        </w:rPr>
        <w:t xml:space="preserve">Students who were aware of a large number of fieldwork techniques were able to successfully answer this question, however, some students were unable to answer using the names of specific fieldwork techniques and provided </w:t>
      </w:r>
      <w:r w:rsidR="00364D85">
        <w:rPr>
          <w:rFonts w:eastAsia="Roboto Light" w:cs="Angsana New"/>
        </w:rPr>
        <w:t>vague</w:t>
      </w:r>
      <w:r w:rsidRPr="00B34D55">
        <w:rPr>
          <w:rFonts w:eastAsia="Roboto Light" w:cs="Angsana New"/>
        </w:rPr>
        <w:t xml:space="preserve"> descriptions. </w:t>
      </w:r>
    </w:p>
    <w:p w14:paraId="650EEA80" w14:textId="77777777" w:rsidR="00B34D55" w:rsidRPr="00B34D55" w:rsidRDefault="00B34D55" w:rsidP="00B34D55">
      <w:pPr>
        <w:pStyle w:val="SAAQuestion"/>
        <w:rPr>
          <w:rFonts w:ascii="Roboto Light" w:eastAsia="Roboto Light" w:hAnsi="Roboto Light"/>
          <w:color w:val="000000"/>
        </w:rPr>
      </w:pPr>
      <w:r w:rsidRPr="00B34D55">
        <w:t>Question 6</w:t>
      </w:r>
    </w:p>
    <w:p w14:paraId="14795409" w14:textId="2A3914C5" w:rsidR="00B34D55" w:rsidRPr="00B34D55" w:rsidRDefault="00B34D55" w:rsidP="00B34D55">
      <w:pPr>
        <w:spacing w:before="120"/>
        <w:rPr>
          <w:rFonts w:eastAsia="Roboto Light" w:cs="Angsana New"/>
        </w:rPr>
      </w:pPr>
      <w:r w:rsidRPr="00B34D55">
        <w:rPr>
          <w:rFonts w:eastAsia="Roboto Light" w:cs="Angsana New"/>
        </w:rPr>
        <w:t xml:space="preserve">In part a most students were aware of the meaning of a hypothesis but were not able to provide this in testable format nor did they adhere to the if… then… format of a hypothesis. Part c was poorly answered, with some students using choropleth maps as an alternative technique, however, the map provided was a choropleth </w:t>
      </w:r>
      <w:r w:rsidR="00364D85" w:rsidRPr="00B34D55">
        <w:rPr>
          <w:rFonts w:eastAsia="Roboto Light" w:cs="Angsana New"/>
        </w:rPr>
        <w:t>map,</w:t>
      </w:r>
      <w:r w:rsidRPr="00B34D55">
        <w:rPr>
          <w:rFonts w:eastAsia="Roboto Light" w:cs="Angsana New"/>
        </w:rPr>
        <w:t xml:space="preserve"> so no marks were awarded. Some responses were vague in describing graphs without providing the type of graph or what should be plotted on the graph.</w:t>
      </w:r>
    </w:p>
    <w:p w14:paraId="13D5FE0D" w14:textId="77777777" w:rsidR="00B34D55" w:rsidRPr="00B34D55" w:rsidRDefault="00B34D55" w:rsidP="00B34D55">
      <w:pPr>
        <w:pStyle w:val="SAAQuestion"/>
        <w:rPr>
          <w:rFonts w:ascii="Roboto Light" w:eastAsia="Roboto Light" w:hAnsi="Roboto Light"/>
          <w:color w:val="000000"/>
        </w:rPr>
      </w:pPr>
      <w:r w:rsidRPr="00B34D55">
        <w:t>Question 7</w:t>
      </w:r>
    </w:p>
    <w:p w14:paraId="0D99A4FB" w14:textId="66C657D6" w:rsidR="00B34D55" w:rsidRPr="00B34D55" w:rsidRDefault="00B34D55" w:rsidP="00B34D55">
      <w:pPr>
        <w:spacing w:before="120"/>
        <w:rPr>
          <w:rFonts w:eastAsia="Roboto Light" w:cs="Angsana New"/>
        </w:rPr>
      </w:pPr>
      <w:r w:rsidRPr="00B34D55">
        <w:rPr>
          <w:rFonts w:eastAsia="Roboto Light" w:cs="Angsana New"/>
        </w:rPr>
        <w:t>This question, although reasonably straightforward</w:t>
      </w:r>
      <w:r w:rsidR="001800AF">
        <w:rPr>
          <w:rFonts w:eastAsia="Roboto Light" w:cs="Angsana New"/>
        </w:rPr>
        <w:t>,</w:t>
      </w:r>
      <w:r w:rsidRPr="00B34D55">
        <w:rPr>
          <w:rFonts w:eastAsia="Roboto Light" w:cs="Angsana New"/>
        </w:rPr>
        <w:t xml:space="preserve"> resulted in a number of blank answers, indicating students did not understand the different types of services provided by ecosystems. A nil response was evident in some 20% of answers and many of those that did respond were confused by the terms provisioning, regulating and cultural. Whilst provisioning services was most successfully answered, with students able to state food and water, regulating and cultural services were not well answered in general.</w:t>
      </w:r>
    </w:p>
    <w:p w14:paraId="5835BEFF" w14:textId="77777777" w:rsidR="00B34D55" w:rsidRPr="00B34D55" w:rsidRDefault="00B34D55" w:rsidP="00B34D55">
      <w:pPr>
        <w:pStyle w:val="SAAQuestion"/>
        <w:rPr>
          <w:rFonts w:ascii="Roboto Light" w:eastAsia="Roboto Light" w:hAnsi="Roboto Light"/>
          <w:color w:val="000000"/>
        </w:rPr>
      </w:pPr>
      <w:r w:rsidRPr="00B34D55">
        <w:t>Question 8</w:t>
      </w:r>
    </w:p>
    <w:p w14:paraId="5A5ADE24" w14:textId="0810B6E4" w:rsidR="00B34D55" w:rsidRPr="00B34D55" w:rsidRDefault="00B34D55" w:rsidP="00B34D55">
      <w:pPr>
        <w:rPr>
          <w:rFonts w:eastAsia="Roboto Light" w:cs="Angsana New"/>
        </w:rPr>
      </w:pPr>
      <w:r w:rsidRPr="00B34D55">
        <w:rPr>
          <w:rFonts w:eastAsia="Roboto Light" w:cs="Angsana New"/>
        </w:rPr>
        <w:t>Part a was reasonably well answered, with most students able to achieve at least one of the two marks on offer. In part b there were</w:t>
      </w:r>
      <w:r w:rsidRPr="00B34D55">
        <w:rPr>
          <w:rFonts w:ascii="Calibri" w:eastAsia="Times New Roman" w:hAnsi="Calibri" w:cs="Calibri"/>
          <w:sz w:val="22"/>
          <w:szCs w:val="22"/>
          <w:lang w:eastAsia="zh-CN"/>
        </w:rPr>
        <w:t xml:space="preserve"> </w:t>
      </w:r>
      <w:r w:rsidRPr="00B34D55">
        <w:rPr>
          <w:rFonts w:eastAsia="Roboto Light" w:cs="Angsana New"/>
        </w:rPr>
        <w:t>many cases where the students did not read the graphs and information correctly, e.g. there was a common misconception about the population size and Global Footprint of Switzerland in comparison to Global data. Very few included explanations of or reference to biocapacity.</w:t>
      </w:r>
      <w:r w:rsidRPr="00B34D55">
        <w:rPr>
          <w:rFonts w:eastAsia="Roboto Light" w:cs="Angsana New"/>
        </w:rPr>
        <w:br/>
        <w:t xml:space="preserve">A number of students provided 'empty' responses where they reworded the question without answering it. </w:t>
      </w:r>
      <w:r w:rsidR="001800AF">
        <w:rPr>
          <w:rFonts w:eastAsia="Roboto Light" w:cs="Angsana New"/>
        </w:rPr>
        <w:t>E</w:t>
      </w:r>
      <w:r w:rsidRPr="00B34D55">
        <w:rPr>
          <w:rFonts w:eastAsia="Roboto Light" w:cs="Angsana New"/>
        </w:rPr>
        <w:t xml:space="preserve">ven the </w:t>
      </w:r>
      <w:r w:rsidR="001800AF">
        <w:rPr>
          <w:rFonts w:eastAsia="Roboto Light" w:cs="Angsana New"/>
        </w:rPr>
        <w:t>more successful</w:t>
      </w:r>
      <w:r w:rsidRPr="00B34D55">
        <w:rPr>
          <w:rFonts w:eastAsia="Roboto Light" w:cs="Angsana New"/>
        </w:rPr>
        <w:t xml:space="preserve"> of the responses tended to discuss only the global footprint of Switzerland and not its biocapacity and made no reference to the rest of the world, this resulted in achieving 4 out of the possible 5 marks in most cases. </w:t>
      </w:r>
    </w:p>
    <w:p w14:paraId="5E56AA32" w14:textId="77777777" w:rsidR="00B34D55" w:rsidRPr="00B34D55" w:rsidRDefault="00B34D55" w:rsidP="00B34D55">
      <w:pPr>
        <w:pStyle w:val="SAAQuestion"/>
        <w:rPr>
          <w:rFonts w:ascii="Roboto Light" w:eastAsia="Roboto Light" w:hAnsi="Roboto Light"/>
          <w:color w:val="000000"/>
        </w:rPr>
      </w:pPr>
      <w:r w:rsidRPr="00B34D55">
        <w:t>Question 9</w:t>
      </w:r>
    </w:p>
    <w:p w14:paraId="6B08E451" w14:textId="745B2099" w:rsidR="00B34D55" w:rsidRPr="00B34D55" w:rsidRDefault="00B34D55" w:rsidP="00B34D55">
      <w:pPr>
        <w:rPr>
          <w:rFonts w:eastAsia="Roboto Light" w:cs="Angsana New"/>
        </w:rPr>
      </w:pPr>
      <w:r w:rsidRPr="00B34D55">
        <w:rPr>
          <w:rFonts w:eastAsia="Roboto Light" w:cs="Angsana New"/>
        </w:rPr>
        <w:t xml:space="preserve">The most successful responses included specific case studies to illustrate land cover change and demonstrated understanding of its impact on things like nutrient cycling. These responses were able to provide explicit detail about the cause of the land cover change and the impact on ecosystem biodiversity. </w:t>
      </w:r>
      <w:r w:rsidR="001800AF">
        <w:rPr>
          <w:rFonts w:eastAsia="Roboto Light" w:cs="Angsana New"/>
        </w:rPr>
        <w:t>Less successful responses</w:t>
      </w:r>
      <w:r w:rsidRPr="00B34D55">
        <w:rPr>
          <w:rFonts w:eastAsia="Roboto Light" w:cs="Angsana New"/>
        </w:rPr>
        <w:t xml:space="preserve"> referred to bushfires as land cover change</w:t>
      </w:r>
      <w:r w:rsidR="001800AF">
        <w:rPr>
          <w:rFonts w:eastAsia="Roboto Light" w:cs="Angsana New"/>
        </w:rPr>
        <w:t>,</w:t>
      </w:r>
      <w:r w:rsidRPr="00B34D55">
        <w:rPr>
          <w:rFonts w:eastAsia="Roboto Light" w:cs="Angsana New"/>
        </w:rPr>
        <w:t xml:space="preserve"> or repeated impacts of land cover change. Some answers made reference to fieldwork and in some cases were distracted by this focus, providing good detail on the cause of the land cover change but less on the biodiversity impact. Whilst some responses only included one reference to a case study, students were still able to achieve full marks if enough detail was provided about the impact on services and biodiversity. </w:t>
      </w:r>
    </w:p>
    <w:p w14:paraId="2E7250F5" w14:textId="77777777" w:rsidR="00B34D55" w:rsidRPr="00B34D55" w:rsidRDefault="00B34D55" w:rsidP="00B34D55">
      <w:pPr>
        <w:pStyle w:val="SAAQuestion"/>
        <w:rPr>
          <w:rFonts w:ascii="Roboto Light" w:eastAsia="Roboto Light" w:hAnsi="Roboto Light"/>
          <w:color w:val="000000"/>
        </w:rPr>
      </w:pPr>
      <w:r w:rsidRPr="00B34D55">
        <w:t>Question 10</w:t>
      </w:r>
    </w:p>
    <w:p w14:paraId="4F2BDE14" w14:textId="6D22B463" w:rsidR="00B34D55" w:rsidRPr="00B34D55" w:rsidRDefault="00B34D55" w:rsidP="00B34D55">
      <w:pPr>
        <w:rPr>
          <w:rFonts w:eastAsia="Roboto Light" w:cs="Angsana New"/>
        </w:rPr>
      </w:pPr>
      <w:r w:rsidRPr="00B34D55">
        <w:rPr>
          <w:rFonts w:eastAsia="Roboto Light" w:cs="Angsana New"/>
        </w:rPr>
        <w:t>Generally</w:t>
      </w:r>
      <w:r w:rsidR="00B06121">
        <w:rPr>
          <w:rFonts w:eastAsia="Roboto Light" w:cs="Angsana New"/>
        </w:rPr>
        <w:t>,</w:t>
      </w:r>
      <w:r w:rsidRPr="00B34D55">
        <w:rPr>
          <w:rFonts w:eastAsia="Roboto Light" w:cs="Angsana New"/>
        </w:rPr>
        <w:t xml:space="preserve"> a well answered question, although some students were distracted by information about Ukraine. Some students also made the assumption that people leaving Ukraine and other Eastern European countries were migrating directly to those countries with net in-migration. </w:t>
      </w:r>
    </w:p>
    <w:p w14:paraId="52CEF520" w14:textId="77777777" w:rsidR="00B34D55" w:rsidRPr="00B34D55" w:rsidRDefault="00B34D55" w:rsidP="00B34D55">
      <w:pPr>
        <w:pStyle w:val="SAAQuestion"/>
        <w:rPr>
          <w:rFonts w:ascii="Roboto Light" w:eastAsia="Roboto Light" w:hAnsi="Roboto Light"/>
          <w:color w:val="000000"/>
        </w:rPr>
      </w:pPr>
      <w:r w:rsidRPr="00B34D55">
        <w:t>Question 11</w:t>
      </w:r>
    </w:p>
    <w:p w14:paraId="60F37969" w14:textId="498A1EDE" w:rsidR="00B34D55" w:rsidRPr="00B34D55" w:rsidRDefault="00B34D55" w:rsidP="00B34D55">
      <w:pPr>
        <w:rPr>
          <w:rFonts w:eastAsia="Roboto Light" w:cs="Angsana New"/>
        </w:rPr>
      </w:pPr>
      <w:r w:rsidRPr="00B34D55">
        <w:rPr>
          <w:rFonts w:eastAsia="Roboto Light" w:cs="Angsana New"/>
        </w:rPr>
        <w:t xml:space="preserve">The majority of students understood this question and were able to successfully respond to political challenges with war and conflict. Economic challenges proved more difficult with some students referring to push and pull factors that would encourage migration rather than challenges to migration. </w:t>
      </w:r>
    </w:p>
    <w:p w14:paraId="3D78CD1B" w14:textId="77777777" w:rsidR="00B34D55" w:rsidRPr="00B34D55" w:rsidRDefault="00B34D55" w:rsidP="00B34D55">
      <w:pPr>
        <w:pStyle w:val="SAAQuestion"/>
        <w:rPr>
          <w:rFonts w:ascii="Roboto Light" w:eastAsia="Roboto Light" w:hAnsi="Roboto Light"/>
          <w:color w:val="000000"/>
        </w:rPr>
      </w:pPr>
      <w:r w:rsidRPr="00B34D55">
        <w:t>Question 12</w:t>
      </w:r>
    </w:p>
    <w:p w14:paraId="77858A4E" w14:textId="7C1B437D" w:rsidR="00B34D55" w:rsidRPr="00B34D55" w:rsidRDefault="001800AF" w:rsidP="00B34D55">
      <w:pPr>
        <w:rPr>
          <w:rFonts w:eastAsia="Roboto Light" w:cs="Angsana New"/>
        </w:rPr>
      </w:pPr>
      <w:r>
        <w:rPr>
          <w:rFonts w:eastAsia="Roboto Light" w:cs="Angsana New"/>
        </w:rPr>
        <w:t>T</w:t>
      </w:r>
      <w:r w:rsidR="00B34D55" w:rsidRPr="00B34D55">
        <w:rPr>
          <w:rFonts w:eastAsia="Roboto Light" w:cs="Angsana New"/>
        </w:rPr>
        <w:t xml:space="preserve">he requirement to comment on both migration and natural change </w:t>
      </w:r>
      <w:r>
        <w:rPr>
          <w:rFonts w:eastAsia="Roboto Light" w:cs="Angsana New"/>
        </w:rPr>
        <w:t>proved</w:t>
      </w:r>
      <w:r w:rsidR="00B34D55" w:rsidRPr="00B34D55">
        <w:rPr>
          <w:rFonts w:eastAsia="Roboto Light" w:cs="Angsana New"/>
        </w:rPr>
        <w:t xml:space="preserve"> difficult for some students. The </w:t>
      </w:r>
      <w:r>
        <w:rPr>
          <w:rFonts w:eastAsia="Roboto Light" w:cs="Angsana New"/>
        </w:rPr>
        <w:t>strongest</w:t>
      </w:r>
      <w:r w:rsidR="00B34D55" w:rsidRPr="00B34D55">
        <w:rPr>
          <w:rFonts w:eastAsia="Roboto Light" w:cs="Angsana New"/>
        </w:rPr>
        <w:t xml:space="preserve"> </w:t>
      </w:r>
      <w:r>
        <w:rPr>
          <w:rFonts w:eastAsia="Roboto Light" w:cs="Angsana New"/>
        </w:rPr>
        <w:t>responses</w:t>
      </w:r>
      <w:r w:rsidR="00B34D55" w:rsidRPr="00B34D55">
        <w:rPr>
          <w:rFonts w:eastAsia="Roboto Light" w:cs="Angsana New"/>
        </w:rPr>
        <w:t xml:space="preserve"> referred to dates when describing changes in migration and natural population change. They also referred to the statistics provided in the table, such as fertility rate to recognise that it was below replacement level (2.1) and therefore Switzerland's population growth is heavily reliant on positive net migration.</w:t>
      </w:r>
    </w:p>
    <w:p w14:paraId="34FA0041" w14:textId="77777777" w:rsidR="00B34D55" w:rsidRPr="00B34D55" w:rsidRDefault="00B34D55" w:rsidP="00B34D55">
      <w:pPr>
        <w:pStyle w:val="SAAQuestion"/>
        <w:rPr>
          <w:rFonts w:ascii="Roboto Light" w:eastAsia="Roboto Light" w:hAnsi="Roboto Light"/>
          <w:color w:val="000000"/>
        </w:rPr>
      </w:pPr>
      <w:r w:rsidRPr="00B34D55">
        <w:lastRenderedPageBreak/>
        <w:t>Question 13</w:t>
      </w:r>
    </w:p>
    <w:p w14:paraId="5917D862" w14:textId="5E170A7B" w:rsidR="00B34D55" w:rsidRPr="00B34D55" w:rsidRDefault="00B34D55" w:rsidP="00B34D55">
      <w:pPr>
        <w:rPr>
          <w:rFonts w:eastAsia="Roboto Light" w:cs="Angsana New"/>
        </w:rPr>
      </w:pPr>
      <w:r w:rsidRPr="00B34D55">
        <w:rPr>
          <w:rFonts w:eastAsia="Roboto Light" w:cs="Angsana New"/>
        </w:rPr>
        <w:t>Parts a and b were very accessible to all students, with most achieving full marks. The strongest answers referred to specific details from a case study that related to ageing or youthful population. Challenges were fully explained and then a relevant strategy was provided. Generally very well done, with many students successfully explaining how some strategies would help address the challenges of an ageing population. Students who focused on youthful populations where able to identify the challenges of that population structure, but less likely to offer strategies, details or named examples of how countries are attempting to address these.</w:t>
      </w:r>
    </w:p>
    <w:p w14:paraId="3ED8D3DD" w14:textId="46C97E3F" w:rsidR="00640314" w:rsidRPr="005670AA" w:rsidRDefault="00640314" w:rsidP="005670AA">
      <w:pPr>
        <w:rPr>
          <w:rFonts w:eastAsia="Roboto Light" w:cs="Angsana New"/>
        </w:rPr>
      </w:pPr>
    </w:p>
    <w:sectPr w:rsidR="00640314" w:rsidRPr="005670AA"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EE4F5" w14:textId="77777777" w:rsidR="00D62342" w:rsidRPr="000D4EDE" w:rsidRDefault="00D62342" w:rsidP="000D4EDE">
      <w:r>
        <w:separator/>
      </w:r>
    </w:p>
  </w:endnote>
  <w:endnote w:type="continuationSeparator" w:id="0">
    <w:p w14:paraId="756D56D2" w14:textId="77777777" w:rsidR="00D62342" w:rsidRPr="000D4EDE" w:rsidRDefault="00D6234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31C04D90" w:rsidR="005A77A8" w:rsidRPr="005A77A8" w:rsidRDefault="005A77A8" w:rsidP="005A77A8">
    <w:pPr>
      <w:pStyle w:val="FootnoteText"/>
      <w:tabs>
        <w:tab w:val="right" w:pos="9070"/>
      </w:tabs>
    </w:pPr>
    <w:r w:rsidRPr="005A77A8">
      <w:t xml:space="preserve">Stage 2 </w:t>
    </w:r>
    <w:r w:rsidR="004E0C3B">
      <w:t xml:space="preserve">Geography </w:t>
    </w:r>
    <w:r w:rsidRPr="005A77A8">
      <w:t>–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0CD04185" w:rsidR="005A77A8" w:rsidRPr="005A77A8" w:rsidRDefault="005A77A8" w:rsidP="005A77A8">
    <w:pPr>
      <w:pStyle w:val="FootnoteText"/>
    </w:pPr>
    <w:r w:rsidRPr="0011455C">
      <w:t>Ref</w:t>
    </w:r>
    <w:r w:rsidR="00CC0708" w:rsidRPr="0011455C">
      <w:t>: A</w:t>
    </w:r>
    <w:r w:rsidR="0011455C" w:rsidRPr="0011455C">
      <w:t>1695819</w:t>
    </w:r>
    <w:r w:rsidRPr="0011455C">
      <w:t xml:space="preserve"> ©</w:t>
    </w:r>
    <w:r w:rsidRPr="005A77A8">
      <w:t xml:space="preserve">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4B8F5" w14:textId="77777777" w:rsidR="00D62342" w:rsidRPr="000D4EDE" w:rsidRDefault="00D62342" w:rsidP="000D4EDE">
      <w:r>
        <w:separator/>
      </w:r>
    </w:p>
  </w:footnote>
  <w:footnote w:type="continuationSeparator" w:id="0">
    <w:p w14:paraId="203FA42C" w14:textId="77777777" w:rsidR="00D62342" w:rsidRPr="000D4EDE" w:rsidRDefault="00D6234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38E1312"/>
    <w:multiLevelType w:val="multilevel"/>
    <w:tmpl w:val="6EC02450"/>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03584A"/>
    <w:multiLevelType w:val="hybridMultilevel"/>
    <w:tmpl w:val="9FE21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60379B"/>
    <w:multiLevelType w:val="hybridMultilevel"/>
    <w:tmpl w:val="CB82DA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7" w15:restartNumberingAfterBreak="0">
    <w:nsid w:val="3A273901"/>
    <w:multiLevelType w:val="singleLevel"/>
    <w:tmpl w:val="0C090001"/>
    <w:lvl w:ilvl="0">
      <w:start w:val="1"/>
      <w:numFmt w:val="bullet"/>
      <w:lvlText w:val=""/>
      <w:lvlJc w:val="left"/>
      <w:pPr>
        <w:ind w:left="720" w:hanging="360"/>
      </w:pPr>
      <w:rPr>
        <w:rFonts w:ascii="Symbol" w:hAnsi="Symbol" w:hint="default"/>
      </w:rPr>
    </w:lvl>
  </w:abstractNum>
  <w:abstractNum w:abstractNumId="28" w15:restartNumberingAfterBreak="0">
    <w:nsid w:val="3AC26C1E"/>
    <w:multiLevelType w:val="hybridMultilevel"/>
    <w:tmpl w:val="286E8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0445F4"/>
    <w:multiLevelType w:val="multilevel"/>
    <w:tmpl w:val="5790BAF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E4EE4"/>
    <w:multiLevelType w:val="multilevel"/>
    <w:tmpl w:val="5790BAFE"/>
    <w:numStyleLink w:val="Lists"/>
  </w:abstractNum>
  <w:abstractNum w:abstractNumId="39"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4"/>
  </w:num>
  <w:num w:numId="11" w16cid:durableId="187796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0"/>
  </w:num>
  <w:num w:numId="15" w16cid:durableId="1603565247">
    <w:abstractNumId w:val="41"/>
  </w:num>
  <w:num w:numId="16" w16cid:durableId="1617251401">
    <w:abstractNumId w:val="42"/>
  </w:num>
  <w:num w:numId="17" w16cid:durableId="1574656666">
    <w:abstractNumId w:val="6"/>
  </w:num>
  <w:num w:numId="18" w16cid:durableId="1760366838">
    <w:abstractNumId w:val="5"/>
  </w:num>
  <w:num w:numId="19" w16cid:durableId="1211501206">
    <w:abstractNumId w:val="1"/>
  </w:num>
  <w:num w:numId="20" w16cid:durableId="2119443736">
    <w:abstractNumId w:val="32"/>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1"/>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0"/>
  </w:num>
  <w:num w:numId="29" w16cid:durableId="21318518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8"/>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9"/>
  </w:num>
  <w:num w:numId="34" w16cid:durableId="1707675797">
    <w:abstractNumId w:val="24"/>
  </w:num>
  <w:num w:numId="35" w16cid:durableId="255796473">
    <w:abstractNumId w:val="29"/>
  </w:num>
  <w:num w:numId="36" w16cid:durableId="1464887363">
    <w:abstractNumId w:val="35"/>
  </w:num>
  <w:num w:numId="37" w16cid:durableId="53359496">
    <w:abstractNumId w:val="22"/>
  </w:num>
  <w:num w:numId="38" w16cid:durableId="989676128">
    <w:abstractNumId w:val="26"/>
  </w:num>
  <w:num w:numId="39" w16cid:durableId="17012724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3"/>
  </w:num>
  <w:num w:numId="42" w16cid:durableId="1178693016">
    <w:abstractNumId w:val="10"/>
  </w:num>
  <w:num w:numId="43" w16cid:durableId="1884713255">
    <w:abstractNumId w:val="36"/>
  </w:num>
  <w:num w:numId="44" w16cid:durableId="1413509865">
    <w:abstractNumId w:val="16"/>
  </w:num>
  <w:num w:numId="45" w16cid:durableId="1248728684">
    <w:abstractNumId w:val="37"/>
  </w:num>
  <w:num w:numId="46" w16cid:durableId="1021054170">
    <w:abstractNumId w:val="25"/>
  </w:num>
  <w:num w:numId="47" w16cid:durableId="1514681533">
    <w:abstractNumId w:val="18"/>
  </w:num>
  <w:num w:numId="48" w16cid:durableId="2025353697">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7142907">
    <w:abstractNumId w:val="11"/>
  </w:num>
  <w:num w:numId="50" w16cid:durableId="843207252">
    <w:abstractNumId w:val="21"/>
  </w:num>
  <w:num w:numId="51" w16cid:durableId="1205022920">
    <w:abstractNumId w:val="28"/>
  </w:num>
  <w:num w:numId="52" w16cid:durableId="624041051">
    <w:abstractNumId w:val="27"/>
  </w:num>
  <w:num w:numId="53" w16cid:durableId="19835338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3D62"/>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141DF"/>
    <w:rsid w:val="0011455C"/>
    <w:rsid w:val="00123576"/>
    <w:rsid w:val="00124B21"/>
    <w:rsid w:val="001327B8"/>
    <w:rsid w:val="0013471B"/>
    <w:rsid w:val="001352D4"/>
    <w:rsid w:val="00157C98"/>
    <w:rsid w:val="001653B6"/>
    <w:rsid w:val="00174B0F"/>
    <w:rsid w:val="001800AF"/>
    <w:rsid w:val="0018235E"/>
    <w:rsid w:val="001867EC"/>
    <w:rsid w:val="001A299A"/>
    <w:rsid w:val="001A664F"/>
    <w:rsid w:val="001B2DB7"/>
    <w:rsid w:val="001B34FE"/>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33D1"/>
    <w:rsid w:val="00364D85"/>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23C3F"/>
    <w:rsid w:val="004277A9"/>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0C3B"/>
    <w:rsid w:val="004E2269"/>
    <w:rsid w:val="004F3339"/>
    <w:rsid w:val="004F72A2"/>
    <w:rsid w:val="00500FC7"/>
    <w:rsid w:val="005026D4"/>
    <w:rsid w:val="00503A51"/>
    <w:rsid w:val="0051007F"/>
    <w:rsid w:val="00511A27"/>
    <w:rsid w:val="00512309"/>
    <w:rsid w:val="00521D3D"/>
    <w:rsid w:val="00542522"/>
    <w:rsid w:val="0054526E"/>
    <w:rsid w:val="005476B5"/>
    <w:rsid w:val="005541D2"/>
    <w:rsid w:val="005602DA"/>
    <w:rsid w:val="005670A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D3A7A"/>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2813"/>
    <w:rsid w:val="007636A2"/>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39ED"/>
    <w:rsid w:val="007D72C5"/>
    <w:rsid w:val="007E525D"/>
    <w:rsid w:val="007E688F"/>
    <w:rsid w:val="007E7AA0"/>
    <w:rsid w:val="007F0323"/>
    <w:rsid w:val="007F379E"/>
    <w:rsid w:val="007F471C"/>
    <w:rsid w:val="007F5E4B"/>
    <w:rsid w:val="007F641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4B41"/>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0AF3"/>
    <w:rsid w:val="00A62D31"/>
    <w:rsid w:val="00A63380"/>
    <w:rsid w:val="00A865C7"/>
    <w:rsid w:val="00A94F89"/>
    <w:rsid w:val="00A97E3B"/>
    <w:rsid w:val="00AA20A1"/>
    <w:rsid w:val="00AA41F2"/>
    <w:rsid w:val="00AB039E"/>
    <w:rsid w:val="00AB4206"/>
    <w:rsid w:val="00AC6C84"/>
    <w:rsid w:val="00AC7E54"/>
    <w:rsid w:val="00AD7847"/>
    <w:rsid w:val="00AE6A4E"/>
    <w:rsid w:val="00AE7B98"/>
    <w:rsid w:val="00AF129F"/>
    <w:rsid w:val="00AF343C"/>
    <w:rsid w:val="00B055D9"/>
    <w:rsid w:val="00B06121"/>
    <w:rsid w:val="00B12DC9"/>
    <w:rsid w:val="00B13F84"/>
    <w:rsid w:val="00B14604"/>
    <w:rsid w:val="00B15ABA"/>
    <w:rsid w:val="00B21076"/>
    <w:rsid w:val="00B212BE"/>
    <w:rsid w:val="00B22ABA"/>
    <w:rsid w:val="00B26878"/>
    <w:rsid w:val="00B30663"/>
    <w:rsid w:val="00B34339"/>
    <w:rsid w:val="00B34D55"/>
    <w:rsid w:val="00B42B2F"/>
    <w:rsid w:val="00B44900"/>
    <w:rsid w:val="00B472E1"/>
    <w:rsid w:val="00B52821"/>
    <w:rsid w:val="00B562CF"/>
    <w:rsid w:val="00B569A2"/>
    <w:rsid w:val="00B61D9C"/>
    <w:rsid w:val="00B67CA3"/>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0274"/>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2342"/>
    <w:rsid w:val="00D647B7"/>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36CDE"/>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2373"/>
    <w:rsid w:val="00EE0126"/>
    <w:rsid w:val="00EF2A15"/>
    <w:rsid w:val="00EF5BFD"/>
    <w:rsid w:val="00F01C6F"/>
    <w:rsid w:val="00F06EE2"/>
    <w:rsid w:val="00F074DC"/>
    <w:rsid w:val="00F24F8F"/>
    <w:rsid w:val="00F307E0"/>
    <w:rsid w:val="00F31D9D"/>
    <w:rsid w:val="00F34D63"/>
    <w:rsid w:val="00F4238D"/>
    <w:rsid w:val="00F52765"/>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D647B7"/>
  </w:style>
  <w:style w:type="paragraph" w:customStyle="1" w:styleId="SAAbullets">
    <w:name w:val="SAA bullets"/>
    <w:basedOn w:val="Normal"/>
    <w:link w:val="SAAbulletsChar"/>
    <w:qFormat/>
    <w:rsid w:val="00D647B7"/>
    <w:pPr>
      <w:numPr>
        <w:numId w:val="49"/>
      </w:numPr>
      <w:spacing w:before="120"/>
    </w:pPr>
    <w:rPr>
      <w:rFonts w:eastAsia="Roboto Light" w:cs="Angsana New"/>
      <w:color w:val="auto"/>
    </w:rPr>
  </w:style>
  <w:style w:type="character" w:customStyle="1" w:styleId="SAAbulletsChar">
    <w:name w:val="SAA bullets Char"/>
    <w:basedOn w:val="DefaultParagraphFont"/>
    <w:link w:val="SAAbullets"/>
    <w:rsid w:val="00D647B7"/>
    <w:rPr>
      <w:rFonts w:eastAsia="Roboto Light" w:cs="Angsana New"/>
      <w:color w:val="auto"/>
    </w:rPr>
  </w:style>
  <w:style w:type="paragraph" w:customStyle="1" w:styleId="SAAQuestion">
    <w:name w:val="SAA Question"/>
    <w:basedOn w:val="Normal"/>
    <w:link w:val="SAAQuestionChar"/>
    <w:qFormat/>
    <w:rsid w:val="00B34D55"/>
    <w:pPr>
      <w:keepNext/>
      <w:keepLines/>
      <w:spacing w:before="200"/>
      <w:outlineLvl w:val="1"/>
    </w:pPr>
    <w:rPr>
      <w:rFonts w:ascii="Roboto Medium" w:eastAsia="SimHei" w:hAnsi="Roboto Medium" w:cs="Angsana New"/>
      <w:bCs/>
      <w:color w:val="000000" w:themeColor="text1"/>
    </w:rPr>
  </w:style>
  <w:style w:type="character" w:customStyle="1" w:styleId="SAAQuestionChar">
    <w:name w:val="SAA Question Char"/>
    <w:basedOn w:val="DefaultParagraphFont"/>
    <w:link w:val="SAAQuestion"/>
    <w:rsid w:val="00B34D55"/>
    <w:rPr>
      <w:rFonts w:ascii="Roboto Medium" w:eastAsia="SimHei" w:hAnsi="Roboto Medium" w:cs="Angsana New"/>
      <w:bCs/>
      <w:color w:val="000000" w:themeColor="text1"/>
    </w:rPr>
  </w:style>
  <w:style w:type="paragraph" w:customStyle="1" w:styleId="SAAbody">
    <w:name w:val="SAA body"/>
    <w:basedOn w:val="Normal"/>
    <w:link w:val="SAAbodyChar"/>
    <w:qFormat/>
    <w:rsid w:val="00B34D55"/>
    <w:pPr>
      <w:spacing w:before="120"/>
    </w:pPr>
    <w:rPr>
      <w:rFonts w:eastAsia="Roboto Light" w:cs="Angsana New"/>
    </w:rPr>
  </w:style>
  <w:style w:type="character" w:customStyle="1" w:styleId="SAAbodyChar">
    <w:name w:val="SAA body Char"/>
    <w:basedOn w:val="DefaultParagraphFont"/>
    <w:link w:val="SAAbody"/>
    <w:rsid w:val="00B34D55"/>
    <w:rPr>
      <w:rFonts w:eastAsia="Roboto Light"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3738">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49905542">
      <w:bodyDiv w:val="1"/>
      <w:marLeft w:val="0"/>
      <w:marRight w:val="0"/>
      <w:marTop w:val="0"/>
      <w:marBottom w:val="0"/>
      <w:divBdr>
        <w:top w:val="none" w:sz="0" w:space="0" w:color="auto"/>
        <w:left w:val="none" w:sz="0" w:space="0" w:color="auto"/>
        <w:bottom w:val="none" w:sz="0" w:space="0" w:color="auto"/>
        <w:right w:val="none" w:sz="0" w:space="0" w:color="auto"/>
      </w:divBdr>
    </w:div>
    <w:div w:id="454953553">
      <w:bodyDiv w:val="1"/>
      <w:marLeft w:val="0"/>
      <w:marRight w:val="0"/>
      <w:marTop w:val="0"/>
      <w:marBottom w:val="0"/>
      <w:divBdr>
        <w:top w:val="none" w:sz="0" w:space="0" w:color="auto"/>
        <w:left w:val="none" w:sz="0" w:space="0" w:color="auto"/>
        <w:bottom w:val="none" w:sz="0" w:space="0" w:color="auto"/>
        <w:right w:val="none" w:sz="0" w:space="0" w:color="auto"/>
      </w:divBdr>
    </w:div>
    <w:div w:id="593366789">
      <w:bodyDiv w:val="1"/>
      <w:marLeft w:val="0"/>
      <w:marRight w:val="0"/>
      <w:marTop w:val="0"/>
      <w:marBottom w:val="0"/>
      <w:divBdr>
        <w:top w:val="none" w:sz="0" w:space="0" w:color="auto"/>
        <w:left w:val="none" w:sz="0" w:space="0" w:color="auto"/>
        <w:bottom w:val="none" w:sz="0" w:space="0" w:color="auto"/>
        <w:right w:val="none" w:sz="0" w:space="0" w:color="auto"/>
      </w:divBdr>
    </w:div>
    <w:div w:id="65503679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56044026">
      <w:bodyDiv w:val="1"/>
      <w:marLeft w:val="0"/>
      <w:marRight w:val="0"/>
      <w:marTop w:val="0"/>
      <w:marBottom w:val="0"/>
      <w:divBdr>
        <w:top w:val="none" w:sz="0" w:space="0" w:color="auto"/>
        <w:left w:val="none" w:sz="0" w:space="0" w:color="auto"/>
        <w:bottom w:val="none" w:sz="0" w:space="0" w:color="auto"/>
        <w:right w:val="none" w:sz="0" w:space="0" w:color="auto"/>
      </w:divBdr>
    </w:div>
    <w:div w:id="900406510">
      <w:bodyDiv w:val="1"/>
      <w:marLeft w:val="0"/>
      <w:marRight w:val="0"/>
      <w:marTop w:val="0"/>
      <w:marBottom w:val="0"/>
      <w:divBdr>
        <w:top w:val="none" w:sz="0" w:space="0" w:color="auto"/>
        <w:left w:val="none" w:sz="0" w:space="0" w:color="auto"/>
        <w:bottom w:val="none" w:sz="0" w:space="0" w:color="auto"/>
        <w:right w:val="none" w:sz="0" w:space="0" w:color="auto"/>
      </w:divBdr>
    </w:div>
    <w:div w:id="904948909">
      <w:bodyDiv w:val="1"/>
      <w:marLeft w:val="0"/>
      <w:marRight w:val="0"/>
      <w:marTop w:val="0"/>
      <w:marBottom w:val="0"/>
      <w:divBdr>
        <w:top w:val="none" w:sz="0" w:space="0" w:color="auto"/>
        <w:left w:val="none" w:sz="0" w:space="0" w:color="auto"/>
        <w:bottom w:val="none" w:sz="0" w:space="0" w:color="auto"/>
        <w:right w:val="none" w:sz="0" w:space="0" w:color="auto"/>
      </w:divBdr>
    </w:div>
    <w:div w:id="907614042">
      <w:bodyDiv w:val="1"/>
      <w:marLeft w:val="0"/>
      <w:marRight w:val="0"/>
      <w:marTop w:val="0"/>
      <w:marBottom w:val="0"/>
      <w:divBdr>
        <w:top w:val="none" w:sz="0" w:space="0" w:color="auto"/>
        <w:left w:val="none" w:sz="0" w:space="0" w:color="auto"/>
        <w:bottom w:val="none" w:sz="0" w:space="0" w:color="auto"/>
        <w:right w:val="none" w:sz="0" w:space="0" w:color="auto"/>
      </w:divBdr>
    </w:div>
    <w:div w:id="92045429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A1695819</value>
    </field>
    <field name="Objective-Title">
      <value order="0">2025 Geography Subject Assessment Advice</value>
    </field>
    <field name="Objective-Description">
      <value order="0"/>
    </field>
    <field name="Objective-CreationStamp">
      <value order="0">2026-01-06T03:28:08Z</value>
    </field>
    <field name="Objective-IsApproved">
      <value order="0">false</value>
    </field>
    <field name="Objective-IsPublished">
      <value order="0">true</value>
    </field>
    <field name="Objective-DatePublished">
      <value order="0">2026-01-08T03:30:25Z</value>
    </field>
    <field name="Objective-ModificationStamp">
      <value order="0">2026-01-08T03:32:27Z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vA2462260</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2026-01-08T22:49:00Z</dcterms:created>
  <dcterms:modified xsi:type="dcterms:W3CDTF">2026-01-08T22:49:00Z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A1695819</vt:lpwstr>
  </property>
  <property fmtid="{D5CDD505-2E9C-101B-9397-08002B2CF9AE}" pid="14" name="Objective-Title">
    <vt:lpwstr>2025 Geography Subject Assessment Advice</vt:lpwstr>
  </property>
  <property fmtid="{D5CDD505-2E9C-101B-9397-08002B2CF9AE}" pid="15" name="Objective-Description">
    <vt:lpwstr/>
  </property>
  <property fmtid="{D5CDD505-2E9C-101B-9397-08002B2CF9AE}" pid="16" name="Objective-CreationStamp">
    <vt:filetime>2026-01-06T03:28:08Z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2026-01-08T03:30:25Z</vt:filetime>
  </property>
  <property fmtid="{D5CDD505-2E9C-101B-9397-08002B2CF9AE}" pid="20" name="Objective-ModificationStamp">
    <vt:filetime>2026-01-08T03:32:27Z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vA2462260</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