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FB" w:rsidRDefault="002C19FB" w:rsidP="00D23AD4">
      <w:pPr>
        <w:spacing w:after="40"/>
        <w:rPr>
          <w:rFonts w:cs="Arial"/>
        </w:rPr>
      </w:pPr>
    </w:p>
    <w:tbl>
      <w:tblPr>
        <w:tblStyle w:val="TableGrid"/>
        <w:tblpPr w:leftFromText="180" w:rightFromText="180" w:vertAnchor="page" w:horzAnchor="margin" w:tblpY="1021"/>
        <w:tblW w:w="15843" w:type="dxa"/>
        <w:tblLook w:val="04A0" w:firstRow="1" w:lastRow="0" w:firstColumn="1" w:lastColumn="0" w:noHBand="0" w:noVBand="1"/>
      </w:tblPr>
      <w:tblGrid>
        <w:gridCol w:w="3085"/>
        <w:gridCol w:w="6095"/>
        <w:gridCol w:w="6663"/>
      </w:tblGrid>
      <w:tr w:rsidR="002C19FB" w:rsidRPr="002C19FB" w:rsidTr="00A53AD3">
        <w:tc>
          <w:tcPr>
            <w:tcW w:w="15843" w:type="dxa"/>
            <w:gridSpan w:val="3"/>
          </w:tcPr>
          <w:p w:rsidR="002C19FB" w:rsidRPr="002C19FB" w:rsidRDefault="002C19FB" w:rsidP="00D23AD4">
            <w:pPr>
              <w:spacing w:after="40"/>
              <w:jc w:val="center"/>
              <w:rPr>
                <w:rFonts w:cs="Arial"/>
                <w:b/>
                <w:sz w:val="32"/>
              </w:rPr>
            </w:pPr>
            <w:r w:rsidRPr="002C19FB">
              <w:rPr>
                <w:rFonts w:cs="Arial"/>
                <w:b/>
                <w:sz w:val="32"/>
              </w:rPr>
              <w:t>Stage 2 General Mathematics – Guidelines for determining complexity of mathematical calculations</w:t>
            </w:r>
          </w:p>
        </w:tc>
      </w:tr>
      <w:tr w:rsidR="002C19FB" w:rsidRPr="002C19FB" w:rsidTr="00A53AD3">
        <w:tc>
          <w:tcPr>
            <w:tcW w:w="15843" w:type="dxa"/>
            <w:gridSpan w:val="3"/>
          </w:tcPr>
          <w:p w:rsidR="002C19FB" w:rsidRPr="002C19FB" w:rsidRDefault="002C19FB" w:rsidP="00D23AD4">
            <w:pPr>
              <w:spacing w:after="40"/>
              <w:rPr>
                <w:rFonts w:cs="Arial"/>
                <w:b/>
              </w:rPr>
            </w:pPr>
            <w:r w:rsidRPr="002C19FB">
              <w:rPr>
                <w:rFonts w:cs="Arial"/>
                <w:b/>
              </w:rPr>
              <w:t>Note:</w:t>
            </w:r>
            <w:r w:rsidRPr="002C19FB">
              <w:rPr>
                <w:rFonts w:cs="Arial"/>
              </w:rPr>
              <w:t xml:space="preserve"> The outline below is intended as a guide only. In all topics the complexity of questions in SATs is also be affected by the degree to which they are scaffolded. Questions in which the steps of a complex calculation are spelled out become more </w:t>
            </w:r>
            <w:proofErr w:type="gramStart"/>
            <w:r w:rsidRPr="002C19FB">
              <w:rPr>
                <w:rFonts w:cs="Arial"/>
              </w:rPr>
              <w:t>routine</w:t>
            </w:r>
            <w:proofErr w:type="gramEnd"/>
            <w:r w:rsidRPr="002C19FB">
              <w:rPr>
                <w:rFonts w:cs="Arial"/>
              </w:rPr>
              <w:t>.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jc w:val="center"/>
              <w:rPr>
                <w:rFonts w:cs="Arial"/>
                <w:b/>
              </w:rPr>
            </w:pPr>
            <w:r w:rsidRPr="002C19FB">
              <w:rPr>
                <w:rFonts w:cs="Arial"/>
                <w:b/>
              </w:rPr>
              <w:t>Content</w:t>
            </w: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jc w:val="center"/>
              <w:rPr>
                <w:rFonts w:cs="Arial"/>
                <w:b/>
              </w:rPr>
            </w:pPr>
            <w:r w:rsidRPr="002C19FB">
              <w:rPr>
                <w:rFonts w:cs="Arial"/>
                <w:b/>
              </w:rPr>
              <w:t>Routine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jc w:val="center"/>
              <w:rPr>
                <w:rFonts w:cs="Arial"/>
                <w:b/>
              </w:rPr>
            </w:pPr>
            <w:r w:rsidRPr="002C19FB">
              <w:rPr>
                <w:rFonts w:cs="Arial"/>
                <w:b/>
              </w:rPr>
              <w:t>Complex</w:t>
            </w:r>
          </w:p>
        </w:tc>
      </w:tr>
      <w:tr w:rsidR="002C19FB" w:rsidRPr="002C19FB" w:rsidTr="00A53AD3">
        <w:tc>
          <w:tcPr>
            <w:tcW w:w="15843" w:type="dxa"/>
            <w:gridSpan w:val="3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  <w:b/>
                <w:sz w:val="24"/>
              </w:rPr>
              <w:t>Topic 1 – Modelling with Linear relationships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1.1 Solution of simultaneous linear equations</w:t>
            </w: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Solving when the equations are given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Solving when the equations have to be formed from contextual information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Interpreting unique solutions in context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Interpreting non-unique solutions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1.2 Linear programming</w:t>
            </w: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Finding the optimal solution if a drawn graph is given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 xml:space="preserve">Graphing constraints if the equations are given 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Formulating the constraint equations from contextual information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Labelling constraint lines, finding intersection points and shading the feasible region of solutions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Determining the objective function and corners of the feasible region. Finding and interpreting the optimal solution in context.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Considering ‘wastage’, changes to the original scenario, or discrete solutions when the optimal solution occurs at a non-discrete point.</w:t>
            </w:r>
          </w:p>
        </w:tc>
      </w:tr>
      <w:tr w:rsidR="002C19FB" w:rsidRPr="002C19FB" w:rsidTr="00A53AD3">
        <w:tc>
          <w:tcPr>
            <w:tcW w:w="15843" w:type="dxa"/>
            <w:gridSpan w:val="3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  <w:b/>
                <w:sz w:val="24"/>
              </w:rPr>
              <w:t>Topic 2 – Modelling with Matrices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2.1 Connectivity matrices</w:t>
            </w: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Creating a matrix from a network diagram or vice versa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Creating a matrix or network diagram from contextual information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Performing basic matrix arithmetic or evaluating a given matrix expression (</w:t>
            </w:r>
            <w:proofErr w:type="spellStart"/>
            <w:r w:rsidRPr="002C19FB">
              <w:rPr>
                <w:rFonts w:cs="Arial"/>
              </w:rPr>
              <w:t>eg</w:t>
            </w:r>
            <w:proofErr w:type="spellEnd"/>
            <w:r w:rsidRPr="002C19FB">
              <w:rPr>
                <w:rFonts w:cs="Arial"/>
              </w:rPr>
              <w:t xml:space="preserve"> calculate C + 0.5C</w:t>
            </w:r>
            <w:r w:rsidRPr="002C19FB">
              <w:rPr>
                <w:rFonts w:cs="Arial"/>
                <w:vertAlign w:val="superscript"/>
              </w:rPr>
              <w:t>2</w:t>
            </w:r>
            <w:r w:rsidRPr="002C19FB">
              <w:rPr>
                <w:rFonts w:cs="Arial"/>
              </w:rPr>
              <w:t xml:space="preserve"> + 0.2C</w:t>
            </w:r>
            <w:r w:rsidRPr="002C19FB">
              <w:rPr>
                <w:rFonts w:cs="Arial"/>
                <w:vertAlign w:val="superscript"/>
              </w:rPr>
              <w:t>3</w:t>
            </w:r>
            <w:r w:rsidRPr="002C19FB">
              <w:rPr>
                <w:rFonts w:cs="Arial"/>
              </w:rPr>
              <w:t>)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Determining what the calculation needs to be to achieve a required result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Interpreting the entries of a given matrix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Interpreting the result of a matrix calculation in context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Considering the effects of changes to the original conditions</w:t>
            </w: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2.2 Transition Matrices</w:t>
            </w: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 xml:space="preserve">Interpreting or completing entries in a given transition matrix, </w:t>
            </w:r>
            <w:r w:rsidRPr="002C19FB">
              <w:rPr>
                <w:rFonts w:cs="Arial"/>
                <w:b/>
              </w:rPr>
              <w:t>T</w:t>
            </w:r>
            <w:r w:rsidRPr="002C19FB">
              <w:rPr>
                <w:rFonts w:cs="Arial"/>
              </w:rPr>
              <w:t>, of order 3x3, or larger.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Creating a transition matrix of order 3x3, or larger, from contextual information</w:t>
            </w:r>
          </w:p>
        </w:tc>
      </w:tr>
      <w:tr w:rsidR="002C19FB" w:rsidRPr="002C19FB" w:rsidTr="00A53AD3">
        <w:trPr>
          <w:trHeight w:val="608"/>
        </w:trPr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 xml:space="preserve">Stating the initial state row matrix from given information and calculating subsequent expected states by multiplying by appropriate powers of </w:t>
            </w:r>
            <w:r w:rsidRPr="002C19FB">
              <w:rPr>
                <w:rFonts w:cs="Arial"/>
                <w:b/>
              </w:rPr>
              <w:t>T</w:t>
            </w:r>
            <w:r w:rsidRPr="002C19FB">
              <w:rPr>
                <w:rFonts w:cs="Arial"/>
              </w:rPr>
              <w:t xml:space="preserve">. 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 xml:space="preserve">Interpreting the results of calculations of the form </w:t>
            </w:r>
            <w:proofErr w:type="spellStart"/>
            <w:r w:rsidRPr="002C19FB">
              <w:rPr>
                <w:rFonts w:cs="Arial"/>
                <w:b/>
              </w:rPr>
              <w:t>T</w:t>
            </w:r>
            <w:r w:rsidRPr="002C19FB">
              <w:rPr>
                <w:rFonts w:cs="Arial"/>
                <w:vertAlign w:val="superscript"/>
              </w:rPr>
              <w:t>n</w:t>
            </w:r>
            <w:proofErr w:type="spellEnd"/>
            <w:r w:rsidRPr="002C19FB">
              <w:rPr>
                <w:rFonts w:cs="Arial"/>
                <w:vertAlign w:val="superscript"/>
              </w:rPr>
              <w:t xml:space="preserve"> </w:t>
            </w:r>
            <w:r w:rsidRPr="002C19FB">
              <w:rPr>
                <w:rFonts w:cs="Arial"/>
              </w:rPr>
              <w:t xml:space="preserve">or </w:t>
            </w:r>
            <w:proofErr w:type="spellStart"/>
            <w:r w:rsidRPr="002C19FB">
              <w:rPr>
                <w:rFonts w:cs="Arial"/>
                <w:b/>
              </w:rPr>
              <w:t>ST</w:t>
            </w:r>
            <w:r w:rsidRPr="002C19FB">
              <w:rPr>
                <w:rFonts w:cs="Arial"/>
                <w:vertAlign w:val="superscript"/>
              </w:rPr>
              <w:t>n</w:t>
            </w:r>
            <w:proofErr w:type="spellEnd"/>
            <w:r w:rsidRPr="002C19FB">
              <w:rPr>
                <w:rFonts w:cs="Arial"/>
              </w:rPr>
              <w:t xml:space="preserve"> in context as numbers, proportions or decimals as required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</w:tr>
      <w:tr w:rsidR="002C19FB" w:rsidRPr="002C19FB" w:rsidTr="00A53AD3"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Finding the steady state of a given transition matrix and interpreting the result in context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Considering the effects of making changes to the original conditions</w:t>
            </w:r>
          </w:p>
        </w:tc>
      </w:tr>
      <w:tr w:rsidR="002C19FB" w:rsidRPr="002C19FB" w:rsidTr="00A53AD3">
        <w:trPr>
          <w:trHeight w:val="385"/>
        </w:trPr>
        <w:tc>
          <w:tcPr>
            <w:tcW w:w="308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Both subtopics</w:t>
            </w:r>
          </w:p>
        </w:tc>
        <w:tc>
          <w:tcPr>
            <w:tcW w:w="6095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Stating appropriate standard underlying assumptions made in the matrix model being used</w:t>
            </w:r>
          </w:p>
        </w:tc>
        <w:tc>
          <w:tcPr>
            <w:tcW w:w="6663" w:type="dxa"/>
          </w:tcPr>
          <w:p w:rsidR="002C19FB" w:rsidRPr="002C19FB" w:rsidRDefault="002C19FB" w:rsidP="00D23AD4">
            <w:pPr>
              <w:spacing w:after="40"/>
              <w:rPr>
                <w:rFonts w:cs="Arial"/>
              </w:rPr>
            </w:pPr>
            <w:r w:rsidRPr="002C19FB">
              <w:rPr>
                <w:rFonts w:cs="Arial"/>
              </w:rPr>
              <w:t>Giving a contextually appropriate description of the implications of the underlying assumptions of the model</w:t>
            </w:r>
          </w:p>
        </w:tc>
      </w:tr>
    </w:tbl>
    <w:p w:rsidR="00D23AD4" w:rsidRDefault="00D23AD4">
      <w:pPr>
        <w:rPr>
          <w:rFonts w:cs="Arial"/>
        </w:rPr>
      </w:pPr>
      <w:r>
        <w:rPr>
          <w:rFonts w:cs="Arial"/>
        </w:rPr>
        <w:br w:type="page"/>
      </w:r>
    </w:p>
    <w:p w:rsidR="002C19FB" w:rsidRDefault="002C19FB">
      <w:pPr>
        <w:rPr>
          <w:rFonts w:cs="Arial"/>
        </w:rPr>
      </w:pPr>
    </w:p>
    <w:tbl>
      <w:tblPr>
        <w:tblStyle w:val="TableGrid"/>
        <w:tblpPr w:leftFromText="180" w:rightFromText="180" w:vertAnchor="page" w:horzAnchor="margin" w:tblpY="1021"/>
        <w:tblW w:w="15843" w:type="dxa"/>
        <w:tblLook w:val="04A0" w:firstRow="1" w:lastRow="0" w:firstColumn="1" w:lastColumn="0" w:noHBand="0" w:noVBand="1"/>
      </w:tblPr>
      <w:tblGrid>
        <w:gridCol w:w="3085"/>
        <w:gridCol w:w="6095"/>
        <w:gridCol w:w="6663"/>
      </w:tblGrid>
      <w:tr w:rsidR="00A53AD3" w:rsidRPr="00A53AD3" w:rsidTr="00A53AD3">
        <w:tc>
          <w:tcPr>
            <w:tcW w:w="15843" w:type="dxa"/>
            <w:gridSpan w:val="3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  <w:b/>
                <w:sz w:val="24"/>
              </w:rPr>
              <w:t>Topic 3 – Statistical Models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3.1 Bivariate Statistics</w:t>
            </w: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Sketching a scatterplot with appropriate labels and indication of scale on both axes from given data.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Describing the strength, direction, and nature of the trend observed in a scatterplot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Creating and interpreting residuals plots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 xml:space="preserve">Finding the values of </w:t>
            </w:r>
            <w:r w:rsidRPr="00A53AD3">
              <w:rPr>
                <w:rFonts w:cs="Arial"/>
                <w:b/>
              </w:rPr>
              <w:t>r</w:t>
            </w:r>
            <w:r w:rsidRPr="00A53AD3">
              <w:rPr>
                <w:rFonts w:cs="Arial"/>
              </w:rPr>
              <w:t xml:space="preserve"> &amp; </w:t>
            </w:r>
            <w:r w:rsidRPr="00A53AD3">
              <w:rPr>
                <w:rFonts w:cs="Arial"/>
                <w:b/>
              </w:rPr>
              <w:t>r</w:t>
            </w:r>
            <w:r w:rsidRPr="00A53AD3">
              <w:rPr>
                <w:rFonts w:cs="Arial"/>
                <w:vertAlign w:val="superscript"/>
              </w:rPr>
              <w:t>2</w:t>
            </w:r>
            <w:r w:rsidRPr="00A53AD3">
              <w:rPr>
                <w:rFonts w:cs="Arial"/>
              </w:rPr>
              <w:t xml:space="preserve"> and their interpretation. Finding the equation of a regression line (either linear or exponential)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Interpreting the values of the parameters ‘a’ and ‘b’ in the regression equation in context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Predicting (interpolation and extrapolation) using the regression equation and interpreting the answer in context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Discussing the reasonableness/reliability of making predictions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Considering the effects of removing an outlier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3.2 The Normal Distribution</w:t>
            </w: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Sketching normal curve graphs and labelling the scale on the horizontal axis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Comparing two different normal distributions on the same graph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Calculating proportions, probabilities &amp; quantities from a given normal distribution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Calculating a value using the inverse normal function</w:t>
            </w:r>
          </w:p>
        </w:tc>
      </w:tr>
      <w:tr w:rsidR="00A53AD3" w:rsidRPr="00A53AD3" w:rsidTr="00A53AD3">
        <w:tc>
          <w:tcPr>
            <w:tcW w:w="15843" w:type="dxa"/>
            <w:gridSpan w:val="3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  <w:b/>
                <w:sz w:val="24"/>
              </w:rPr>
              <w:t>Topic 4 – Financial Models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4.1 Saving &amp; 4.2 Borrowing</w:t>
            </w: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Subsequent calculations after the initial set up*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Initial set up of annuity/loan calculations from written information or if changing the value of two or more variables at the same time*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sz w:val="24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Calculating effects of taxation and inflation (4.1)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 xml:space="preserve">Calculating the effect on interest of an offset account for periods </w:t>
            </w:r>
            <w:r w:rsidRPr="00A53AD3">
              <w:rPr>
                <w:rFonts w:cs="Arial"/>
                <w:i/>
              </w:rPr>
              <w:t>within</w:t>
            </w:r>
            <w:r w:rsidRPr="00A53AD3">
              <w:rPr>
                <w:rFonts w:cs="Arial"/>
              </w:rPr>
              <w:t xml:space="preserve"> the term of the loan (4.2)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sz w:val="24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Calculating comparative (annualised) rates with different compounding periods (4.1 &amp; 4.2)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Calculating comparison rates taking fees and charges into account (providing the steps are not given) (4.2 only)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sz w:val="24"/>
              </w:rPr>
            </w:pPr>
          </w:p>
        </w:tc>
        <w:tc>
          <w:tcPr>
            <w:tcW w:w="12758" w:type="dxa"/>
            <w:gridSpan w:val="2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*Please note complexity in financial questions is often determined more by the structure of the question than by the individual mathematical calculations involved</w:t>
            </w:r>
          </w:p>
        </w:tc>
      </w:tr>
      <w:tr w:rsidR="00A53AD3" w:rsidRPr="00A53AD3" w:rsidTr="00A53AD3">
        <w:tc>
          <w:tcPr>
            <w:tcW w:w="15843" w:type="dxa"/>
            <w:gridSpan w:val="3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  <w:b/>
                <w:sz w:val="24"/>
              </w:rPr>
              <w:t>Topic 5 – Discrete Models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sz w:val="24"/>
              </w:rPr>
            </w:pPr>
            <w:r w:rsidRPr="00A53AD3">
              <w:rPr>
                <w:rFonts w:cs="Arial"/>
              </w:rPr>
              <w:t>5.1 Critical Path Analysis</w:t>
            </w: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Interpreting information given in a network or a precedence table (with or without earliest and latest starting times given)</w:t>
            </w:r>
          </w:p>
        </w:tc>
        <w:tc>
          <w:tcPr>
            <w:tcW w:w="6663" w:type="dxa"/>
          </w:tcPr>
          <w:p w:rsidR="00A53AD3" w:rsidRPr="00A53AD3" w:rsidRDefault="00A53AD3" w:rsidP="00AF5007">
            <w:pPr>
              <w:rPr>
                <w:rFonts w:cs="Arial"/>
              </w:rPr>
            </w:pPr>
            <w:r w:rsidRPr="00A53AD3">
              <w:rPr>
                <w:rFonts w:cs="Arial"/>
              </w:rPr>
              <w:t>Drawing the network from a given precedence table</w:t>
            </w:r>
            <w:r w:rsidR="00AF5007">
              <w:rPr>
                <w:rFonts w:cs="Arial"/>
              </w:rPr>
              <w:t xml:space="preserve"> (with the exception of identifying start and end points and using directed links)</w:t>
            </w:r>
            <w:bookmarkStart w:id="0" w:name="_GoBack"/>
            <w:bookmarkEnd w:id="0"/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b/>
                <w:sz w:val="24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Using a forward and backward scan on a given network to find the critical path and minimum completion time for the job and earliest and latest starting times for individual tasks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>
              <w:rPr>
                <w:rFonts w:cs="Arial"/>
              </w:rPr>
              <w:t>Interpreting dummy links.</w:t>
            </w:r>
          </w:p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Discussion of leeway (or slack time) over sections of the network not on the critical path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b/>
                <w:sz w:val="24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Interpreting aspects of the optimum solution in context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Considering the effects of changes to the original conditions</w:t>
            </w:r>
          </w:p>
        </w:tc>
      </w:tr>
      <w:tr w:rsidR="00A53AD3" w:rsidRPr="00A53AD3" w:rsidTr="00A53AD3"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sz w:val="24"/>
              </w:rPr>
            </w:pPr>
            <w:r w:rsidRPr="00A53AD3">
              <w:rPr>
                <w:rFonts w:cs="Arial"/>
              </w:rPr>
              <w:t>5.2 Assignment Problems</w:t>
            </w: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Solving square arrays of order 4x4 or larger and interpreting the optimum solution(s) in context</w:t>
            </w: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Solving non-square arrays larger than order 4x4 and interpreting the optimal solution(s) in context</w:t>
            </w:r>
          </w:p>
        </w:tc>
      </w:tr>
      <w:tr w:rsidR="00A53AD3" w:rsidRPr="00A53AD3" w:rsidTr="00A53AD3">
        <w:trPr>
          <w:trHeight w:val="86"/>
        </w:trPr>
        <w:tc>
          <w:tcPr>
            <w:tcW w:w="3085" w:type="dxa"/>
          </w:tcPr>
          <w:p w:rsidR="00A53AD3" w:rsidRPr="00A53AD3" w:rsidRDefault="00A53AD3" w:rsidP="00D23AD4">
            <w:pPr>
              <w:rPr>
                <w:rFonts w:cs="Arial"/>
                <w:b/>
                <w:sz w:val="24"/>
              </w:rPr>
            </w:pPr>
          </w:p>
        </w:tc>
        <w:tc>
          <w:tcPr>
            <w:tcW w:w="6095" w:type="dxa"/>
          </w:tcPr>
          <w:p w:rsidR="00A53AD3" w:rsidRPr="00A53AD3" w:rsidRDefault="00A53AD3" w:rsidP="00D23AD4">
            <w:pPr>
              <w:rPr>
                <w:rFonts w:cs="Arial"/>
              </w:rPr>
            </w:pPr>
          </w:p>
        </w:tc>
        <w:tc>
          <w:tcPr>
            <w:tcW w:w="6663" w:type="dxa"/>
          </w:tcPr>
          <w:p w:rsidR="00A53AD3" w:rsidRPr="00A53AD3" w:rsidRDefault="00A53AD3" w:rsidP="00D23AD4">
            <w:pPr>
              <w:rPr>
                <w:rFonts w:cs="Arial"/>
              </w:rPr>
            </w:pPr>
            <w:r w:rsidRPr="00A53AD3">
              <w:rPr>
                <w:rFonts w:cs="Arial"/>
              </w:rPr>
              <w:t>Considering the effects of changes to the original conditions</w:t>
            </w:r>
          </w:p>
        </w:tc>
      </w:tr>
      <w:tr w:rsidR="00AF5007" w:rsidRPr="00A53AD3" w:rsidTr="00A53AD3">
        <w:trPr>
          <w:trHeight w:val="86"/>
        </w:trPr>
        <w:tc>
          <w:tcPr>
            <w:tcW w:w="3085" w:type="dxa"/>
          </w:tcPr>
          <w:p w:rsidR="00AF5007" w:rsidRPr="00A53AD3" w:rsidRDefault="00AF5007" w:rsidP="00D23AD4">
            <w:pPr>
              <w:rPr>
                <w:rFonts w:cs="Arial"/>
                <w:b/>
                <w:sz w:val="24"/>
              </w:rPr>
            </w:pPr>
          </w:p>
        </w:tc>
        <w:tc>
          <w:tcPr>
            <w:tcW w:w="6095" w:type="dxa"/>
          </w:tcPr>
          <w:p w:rsidR="00AF5007" w:rsidRPr="00A53AD3" w:rsidRDefault="00AF5007" w:rsidP="00D23AD4">
            <w:pPr>
              <w:rPr>
                <w:rFonts w:cs="Arial"/>
              </w:rPr>
            </w:pPr>
          </w:p>
        </w:tc>
        <w:tc>
          <w:tcPr>
            <w:tcW w:w="6663" w:type="dxa"/>
          </w:tcPr>
          <w:p w:rsidR="00AF5007" w:rsidRPr="00A53AD3" w:rsidRDefault="00AF5007" w:rsidP="00D23AD4">
            <w:pPr>
              <w:rPr>
                <w:rFonts w:cs="Arial"/>
              </w:rPr>
            </w:pPr>
            <w:r>
              <w:rPr>
                <w:rFonts w:cs="Arial"/>
              </w:rPr>
              <w:t>Interpreting multiple solutions</w:t>
            </w:r>
          </w:p>
        </w:tc>
      </w:tr>
    </w:tbl>
    <w:p w:rsidR="002C19FB" w:rsidRDefault="002C19FB" w:rsidP="00A53AD3">
      <w:pPr>
        <w:rPr>
          <w:rFonts w:cs="Arial"/>
        </w:rPr>
      </w:pPr>
    </w:p>
    <w:sectPr w:rsidR="002C19FB" w:rsidSect="002C19FB">
      <w:footerReference w:type="default" r:id="rId7"/>
      <w:pgSz w:w="16838" w:h="11906" w:orient="landscape" w:code="9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53" w:rsidRDefault="00284453" w:rsidP="002C19FB">
      <w:r>
        <w:separator/>
      </w:r>
    </w:p>
  </w:endnote>
  <w:endnote w:type="continuationSeparator" w:id="0">
    <w:p w:rsidR="00284453" w:rsidRDefault="00284453" w:rsidP="002C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59" w:rsidRDefault="00B02F59" w:rsidP="00B02F59">
    <w:pPr>
      <w:pStyle w:val="LAPFooter"/>
      <w:tabs>
        <w:tab w:val="clear" w:pos="9639"/>
        <w:tab w:val="clear" w:pos="14742"/>
        <w:tab w:val="right" w:pos="15451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AF5007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AF5007">
      <w:rPr>
        <w:noProof/>
      </w:rPr>
      <w:t>2</w:t>
    </w:r>
    <w:r w:rsidRPr="00D128A8">
      <w:fldChar w:fldCharType="end"/>
    </w:r>
    <w:r>
      <w:rPr>
        <w:sz w:val="18"/>
      </w:rPr>
      <w:tab/>
    </w:r>
    <w:r>
      <w:t>Stage 2 General Mathematics</w:t>
    </w:r>
    <w:r w:rsidR="00885FB5">
      <w:t xml:space="preserve"> – Routine and Complex support</w:t>
    </w:r>
  </w:p>
  <w:p w:rsidR="00B02F59" w:rsidRPr="00AD3BD3" w:rsidRDefault="00B02F59" w:rsidP="00B02F59">
    <w:pPr>
      <w:pStyle w:val="LAPFooter"/>
      <w:tabs>
        <w:tab w:val="clear" w:pos="9639"/>
        <w:tab w:val="clear" w:pos="14742"/>
        <w:tab w:val="right" w:pos="15451"/>
      </w:tabs>
    </w:pPr>
    <w:r w:rsidRPr="00AD3BD3">
      <w:tab/>
    </w:r>
    <w:r w:rsidRPr="009723BD">
      <w:rPr>
        <w:spacing w:val="-4"/>
      </w:rPr>
      <w:t xml:space="preserve">Ref: </w:t>
    </w:r>
    <w:r w:rsidRPr="009723BD">
      <w:rPr>
        <w:spacing w:val="-4"/>
      </w:rPr>
      <w:fldChar w:fldCharType="begin"/>
    </w:r>
    <w:r w:rsidRPr="009723BD">
      <w:rPr>
        <w:spacing w:val="-4"/>
      </w:rPr>
      <w:instrText xml:space="preserve"> DOCPROPERTY  Objective-Id </w:instrText>
    </w:r>
    <w:r w:rsidRPr="009723BD">
      <w:rPr>
        <w:spacing w:val="-4"/>
      </w:rPr>
      <w:fldChar w:fldCharType="separate"/>
    </w:r>
    <w:r w:rsidR="003B1D55">
      <w:rPr>
        <w:spacing w:val="-4"/>
      </w:rPr>
      <w:t>A614188</w:t>
    </w:r>
    <w:r w:rsidRPr="009723BD">
      <w:rPr>
        <w:spacing w:val="-4"/>
      </w:rPr>
      <w:fldChar w:fldCharType="end"/>
    </w:r>
    <w:r w:rsidRPr="009723BD">
      <w:rPr>
        <w:spacing w:val="-4"/>
      </w:rPr>
      <w:t xml:space="preserve"> </w:t>
    </w:r>
    <w:r w:rsidRPr="009723BD">
      <w:t>(created</w:t>
    </w:r>
    <w:r>
      <w:t xml:space="preserve"> March 2017)</w:t>
    </w:r>
  </w:p>
  <w:p w:rsidR="00A53AD3" w:rsidRDefault="00B02F59" w:rsidP="00B02F59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53" w:rsidRDefault="00284453" w:rsidP="002C19FB">
      <w:r>
        <w:separator/>
      </w:r>
    </w:p>
  </w:footnote>
  <w:footnote w:type="continuationSeparator" w:id="0">
    <w:p w:rsidR="00284453" w:rsidRDefault="00284453" w:rsidP="002C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FB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84453"/>
    <w:rsid w:val="00294972"/>
    <w:rsid w:val="002A0847"/>
    <w:rsid w:val="002B0D95"/>
    <w:rsid w:val="002B395F"/>
    <w:rsid w:val="002C19FB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1D55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27EEA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85FB5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55E91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3AD3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007"/>
    <w:rsid w:val="00AF5EA0"/>
    <w:rsid w:val="00B007B0"/>
    <w:rsid w:val="00B02F59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E7BA5"/>
    <w:rsid w:val="00CF39CB"/>
    <w:rsid w:val="00D0265D"/>
    <w:rsid w:val="00D06174"/>
    <w:rsid w:val="00D0655C"/>
    <w:rsid w:val="00D15FCD"/>
    <w:rsid w:val="00D23AD4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AD3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C1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19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2C1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19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B02F59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AD3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C1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19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2C1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19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B02F59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6ca187fa6848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CB029ECD6D85427BAD5E1D35DE4A29A4" version="1.0.0">
  <systemFields>
    <field name="Objective-Id">
      <value order="0">A614188</value>
    </field>
    <field name="Objective-Title">
      <value order="0">Complexity Guide General Mathematics</value>
    </field>
    <field name="Objective-Description">
      <value order="0"/>
    </field>
    <field name="Objective-CreationStamp">
      <value order="0">2017-03-01T04:14:57Z</value>
    </field>
    <field name="Objective-IsApproved">
      <value order="0">false</value>
    </field>
    <field name="Objective-IsPublished">
      <value order="0">true</value>
    </field>
    <field name="Objective-DatePublished">
      <value order="0">2017-03-14T03:18:37Z</value>
    </field>
    <field name="Objective-ModificationStamp">
      <value order="0">2017-03-14T03:18:37Z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2017):Subject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vA1095700</value>
    </field>
    <field name="Objective-Version">
      <value order="0">8.0</value>
    </field>
    <field name="Objective-VersionNumber">
      <value order="0">9</value>
    </field>
    <field name="Objective-VersionComment">
      <value order="0"/>
    </field>
    <field name="Objective-FileNumber">
      <value order="0">qA13672</value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Pietrzyk</dc:creator>
  <cp:lastModifiedBy> </cp:lastModifiedBy>
  <cp:revision>6</cp:revision>
  <dcterms:created xsi:type="dcterms:W3CDTF">2017-03-02T00:45:00Z</dcterms:created>
  <dcterms:modified xsi:type="dcterms:W3CDTF">2017-03-14T03:18:00Z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A614188</vt:lpwstr>
  </property>
  <property fmtid="{D5CDD505-2E9C-101B-9397-08002B2CF9AE}" pid="4" name="Objective-Title">
    <vt:lpwstr>Complexity Guide General Mathematics</vt:lpwstr>
  </property>
  <property fmtid="{D5CDD505-2E9C-101B-9397-08002B2CF9AE}" pid="5" name="Objective-Comment">
    <vt:lpwstr/>
  </property>
  <property fmtid="{D5CDD505-2E9C-101B-9397-08002B2CF9AE}" pid="6" name="Objective-CreationStamp">
    <vt:filetime>2017-03-01T04:14:57Z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2017-03-14T03:18:37Z</vt:filetime>
  </property>
  <property fmtid="{D5CDD505-2E9C-101B-9397-08002B2CF9AE}" pid="10" name="Objective-ModificationStamp">
    <vt:filetime>2017-03-14T03:18:37Z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2:Mathematics:General Mathematics (from 2017):Subject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qA13672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vA1095700</vt:lpwstr>
  </property>
</Properties>
</file>