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41A8C55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35732A">
        <w:t>Community Connections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C06F16">
      <w:pPr>
        <w:pStyle w:val="SAAbodytext"/>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65D91817" w14:textId="091847B4" w:rsidR="00100A20" w:rsidRPr="00902B83" w:rsidRDefault="003170E9" w:rsidP="00C06F16">
      <w:pPr>
        <w:pStyle w:val="SAAbodytext"/>
        <w:rPr>
          <w:rFonts w:eastAsia="Roboto Light" w:cs="Angsana New"/>
        </w:rPr>
      </w:pPr>
      <w:r w:rsidRPr="003170E9">
        <w:t xml:space="preserve">The advice focuses on identifying characteristics of more successful </w:t>
      </w:r>
      <w:r w:rsidRPr="003170E9">
        <w:rPr>
          <w:rFonts w:eastAsia="Roboto Light" w:cs="Angsana New"/>
        </w:rPr>
        <w:t>and less successful responses, the appropriate application of performance standards, and considerations for effective task design.</w:t>
      </w:r>
      <w:r w:rsidR="00AA3495">
        <w:rPr>
          <w:rFonts w:eastAsia="Roboto Light" w:cs="Angsana New"/>
        </w:rPr>
        <w:t xml:space="preserve"> </w:t>
      </w:r>
      <w:r w:rsidR="00CC0708" w:rsidRPr="00055935">
        <w:rPr>
          <w:rFonts w:eastAsia="Roboto Light" w:cs="Angsana New"/>
        </w:rPr>
        <w:t xml:space="preserve">The Subject Renewal program has introduced changes for many subjects in 2025; these changes are detailed in the change log at the front of each subject outline. </w:t>
      </w:r>
      <w:r w:rsidR="0035732A" w:rsidRPr="003170E9">
        <w:rPr>
          <w:rFonts w:eastAsia="Roboto Light" w:cs="Angsana New"/>
        </w:rPr>
        <w:t>When reviewing the 2025 subject</w:t>
      </w:r>
      <w:r w:rsidR="0035732A">
        <w:t xml:space="preserve"> assessment advice, it is important to consider any updates to this subject to ensure the feedback in this document remains accurate. </w:t>
      </w:r>
      <w:r w:rsidR="00E43968">
        <w:t xml:space="preserve"> </w:t>
      </w:r>
      <w:r w:rsidR="00860E61">
        <w:t xml:space="preserve"> </w:t>
      </w:r>
      <w:r w:rsidR="00BE7E5C">
        <w:t xml:space="preserv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54E271F9" w14:textId="3C7B2935" w:rsidR="003170E9" w:rsidRPr="003170E9" w:rsidRDefault="003170E9" w:rsidP="00C06F16">
      <w:pPr>
        <w:pStyle w:val="SAAbullets"/>
      </w:pPr>
      <w:r w:rsidRPr="003170E9">
        <w:t>ensuring all grades entered into Schools Online accurately reflect evidence demonstrated against the performance standards</w:t>
      </w:r>
    </w:p>
    <w:p w14:paraId="0E3B3953" w14:textId="08C51270" w:rsidR="003170E9" w:rsidRPr="003170E9" w:rsidRDefault="003170E9" w:rsidP="00C06F16">
      <w:pPr>
        <w:pStyle w:val="SAAbullets"/>
      </w:pPr>
      <w:r w:rsidRPr="003170E9">
        <w:t xml:space="preserve">uploading student work that is clearly legible, correctly oriented, and free of </w:t>
      </w:r>
      <w:r w:rsidR="00A145C9">
        <w:t>extra</w:t>
      </w:r>
      <w:r w:rsidRPr="003170E9">
        <w:t xml:space="preserve"> pages</w:t>
      </w:r>
    </w:p>
    <w:p w14:paraId="1112CCCB" w14:textId="7E5CF990" w:rsidR="003170E9" w:rsidRPr="003170E9" w:rsidRDefault="003170E9" w:rsidP="00C06F16">
      <w:pPr>
        <w:pStyle w:val="SAAbullets"/>
      </w:pPr>
      <w:r w:rsidRPr="003170E9">
        <w:t>ensuring teacher annotations and comments are clearly visible and aligned to the assessment design criteria</w:t>
      </w:r>
    </w:p>
    <w:p w14:paraId="19473E99" w14:textId="75983163" w:rsidR="003170E9" w:rsidRDefault="003170E9" w:rsidP="00C06F16">
      <w:pPr>
        <w:pStyle w:val="SAAbullets"/>
      </w:pPr>
      <w:r w:rsidRPr="003170E9">
        <w:t>providing sufficient contextual information</w:t>
      </w:r>
      <w:r w:rsidR="00050C08">
        <w:t xml:space="preserve"> (planning flowchart or task sheets)</w:t>
      </w:r>
      <w:r w:rsidRPr="003170E9">
        <w:t xml:space="preserve"> to support moderation, particularly where learning is drawn from other Stage 2 subjects or integrated programs</w:t>
      </w:r>
    </w:p>
    <w:p w14:paraId="265B40E5" w14:textId="4C5FD7AD" w:rsidR="004A7E4D" w:rsidRDefault="004A7E4D" w:rsidP="00C06F16">
      <w:pPr>
        <w:pStyle w:val="SAAbullets"/>
      </w:pPr>
      <w:r>
        <w:t>using the AT1: Folio Cover sheet to provide context for the variety of tasks and subject area being used</w:t>
      </w:r>
      <w:r w:rsidR="00050C08">
        <w:t xml:space="preserve"> ensuring to clearly identify the stage 2 subject related to the learning tasks</w:t>
      </w:r>
    </w:p>
    <w:p w14:paraId="778AB77A" w14:textId="5587CB2F" w:rsidR="004A7E4D" w:rsidRDefault="004A7E4D" w:rsidP="00C06F16">
      <w:pPr>
        <w:pStyle w:val="SAAbullets"/>
      </w:pPr>
      <w:r>
        <w:t>using section headings or signposting to indicate different tasks within a combined file</w:t>
      </w:r>
      <w:r w:rsidR="00C06F16">
        <w:t>.</w:t>
      </w:r>
    </w:p>
    <w:p w14:paraId="5A086148" w14:textId="50B2C800" w:rsidR="00B30663" w:rsidRPr="00B30663" w:rsidRDefault="00B30663" w:rsidP="00B30663">
      <w:pPr>
        <w:pStyle w:val="Heading2NoNumber"/>
      </w:pPr>
      <w:r w:rsidRPr="00B30663">
        <w:t xml:space="preserve">Assessment Type 1: </w:t>
      </w:r>
      <w:r w:rsidR="00AC0878">
        <w:t>Folio (50%)</w:t>
      </w:r>
    </w:p>
    <w:p w14:paraId="5C1883D7" w14:textId="77777777" w:rsidR="00253C0D" w:rsidRDefault="00253C0D" w:rsidP="00253C0D">
      <w:pPr>
        <w:pStyle w:val="SAAbodytext"/>
      </w:pPr>
      <w:r>
        <w:t>For this assessment type, students provide evidence of learning from the completion of at least two tasks for a 10-credit subject, or four tasks for a 20-credit subject. Tasks and evidence should show specific learning requirements from the selected Stage 2 subject, and addresses their development of:</w:t>
      </w:r>
    </w:p>
    <w:p w14:paraId="4E5B94F2" w14:textId="77777777" w:rsidR="00E77897" w:rsidRDefault="00253C0D" w:rsidP="00C06F16">
      <w:pPr>
        <w:pStyle w:val="SAAbullets"/>
      </w:pPr>
      <w:r>
        <w:t>knowledge and concepts related to the selected Stage 2 subject</w:t>
      </w:r>
      <w:r w:rsidR="00B134A7">
        <w:t xml:space="preserve"> </w:t>
      </w:r>
    </w:p>
    <w:p w14:paraId="57A23672" w14:textId="77777777" w:rsidR="00E77897" w:rsidRDefault="00253C0D" w:rsidP="00C06F16">
      <w:pPr>
        <w:pStyle w:val="SAAbullets"/>
      </w:pPr>
      <w:r>
        <w:t>specific skills related to the SACE Stage 2 subject</w:t>
      </w:r>
      <w:r w:rsidR="00E77897">
        <w:t xml:space="preserve"> </w:t>
      </w:r>
    </w:p>
    <w:p w14:paraId="683762B5" w14:textId="2A6DF6CF" w:rsidR="00253C0D" w:rsidRDefault="00253C0D" w:rsidP="00C06F16">
      <w:pPr>
        <w:pStyle w:val="SAAbullets"/>
      </w:pPr>
      <w:r>
        <w:t>this assessment type must show evidence of students’ learning in relation to the assessment design criteria Knowledge and Understanding (KU1, KU2).</w:t>
      </w:r>
    </w:p>
    <w:p w14:paraId="2FD2A13B" w14:textId="32AA90EF" w:rsidR="00253C0D" w:rsidRDefault="00B20FD9" w:rsidP="00253C0D">
      <w:pPr>
        <w:sectPr w:rsidR="00253C0D">
          <w:headerReference w:type="even" r:id="rId11"/>
          <w:headerReference w:type="default" r:id="rId12"/>
          <w:footerReference w:type="even" r:id="rId13"/>
          <w:footerReference w:type="default" r:id="rId14"/>
          <w:headerReference w:type="first" r:id="rId15"/>
          <w:footerReference w:type="first" r:id="rId16"/>
          <w:pgSz w:w="11906" w:h="16838"/>
          <w:pgMar w:top="2126" w:right="1418" w:bottom="1440" w:left="1418" w:header="851" w:footer="539" w:gutter="0"/>
          <w:pgNumType w:start="1"/>
          <w:cols w:space="720"/>
        </w:sectPr>
      </w:pPr>
      <w:r>
        <w:t xml:space="preserve"> </w:t>
      </w:r>
    </w:p>
    <w:p w14:paraId="4D6EF802" w14:textId="77777777" w:rsidR="00B30663" w:rsidRPr="00B30663" w:rsidRDefault="00B30663" w:rsidP="00C06F16">
      <w:pPr>
        <w:pStyle w:val="SAAbodytext"/>
        <w:rPr>
          <w:i/>
        </w:rPr>
      </w:pPr>
      <w:r w:rsidRPr="00B30663">
        <w:lastRenderedPageBreak/>
        <w:t>Teachers can elicit more successful responses by:</w:t>
      </w:r>
    </w:p>
    <w:p w14:paraId="541EA743" w14:textId="0ABDAF11" w:rsidR="00EF6949" w:rsidRPr="00EF6949" w:rsidRDefault="00EF6949" w:rsidP="00C06F16">
      <w:pPr>
        <w:pStyle w:val="SAAbullets"/>
      </w:pPr>
      <w:r w:rsidRPr="00EF6949">
        <w:t>designing tasks that allow students to demonstrate depth of learning and skill development over time, rather than fragmenting learning into multiple small tasks</w:t>
      </w:r>
    </w:p>
    <w:p w14:paraId="3703AB0E" w14:textId="67A7C06D" w:rsidR="00EF6949" w:rsidRPr="00EF6949" w:rsidRDefault="00EF6949" w:rsidP="00C06F16">
      <w:pPr>
        <w:pStyle w:val="SAAbullets"/>
      </w:pPr>
      <w:r w:rsidRPr="00EF6949">
        <w:t>providing opportunities for students to present evidence using multimodal formats, particularly where practical or applied skills are being demonstrated</w:t>
      </w:r>
    </w:p>
    <w:p w14:paraId="22C5F947" w14:textId="14562412" w:rsidR="00EF6949" w:rsidRDefault="00EF6949" w:rsidP="00C06F16">
      <w:pPr>
        <w:pStyle w:val="SAAbullets"/>
      </w:pPr>
      <w:r w:rsidRPr="00EF6949">
        <w:t>balancing technical knowledge tasks with tasks that allow students to apply learning in authentic or contextualised ways</w:t>
      </w:r>
    </w:p>
    <w:p w14:paraId="47B2845B" w14:textId="3F37B14F" w:rsidR="008B50A8" w:rsidRPr="00EF6949" w:rsidRDefault="008B50A8" w:rsidP="00C06F16">
      <w:pPr>
        <w:pStyle w:val="SAAbullets"/>
      </w:pPr>
      <w:r>
        <w:t>encouraging student agency and the design of tasks to be student led, to allow students to develop the skills and knowledge they are interested in</w:t>
      </w:r>
    </w:p>
    <w:p w14:paraId="1FF8CD52" w14:textId="6E1A4852" w:rsidR="00EF6949" w:rsidRPr="00EF6949" w:rsidRDefault="00EF6949" w:rsidP="00C06F16">
      <w:pPr>
        <w:pStyle w:val="SAAbullets"/>
      </w:pPr>
      <w:r w:rsidRPr="00EF6949">
        <w:t>ensuring that folio evidence is clearly connected to the learning requirements of the selected Stage 2 subject.</w:t>
      </w:r>
    </w:p>
    <w:p w14:paraId="77162E12" w14:textId="77777777" w:rsidR="00B30663" w:rsidRPr="00B30663" w:rsidRDefault="00B30663" w:rsidP="00C06F16">
      <w:pPr>
        <w:pStyle w:val="SAAMoreLess"/>
      </w:pPr>
      <w:r w:rsidRPr="00B30663">
        <w:t>The more successful responses commonly:</w:t>
      </w:r>
    </w:p>
    <w:p w14:paraId="1F0005B5" w14:textId="213C67FA" w:rsidR="00877DC9" w:rsidRPr="00877DC9" w:rsidRDefault="00877DC9" w:rsidP="00C06F16">
      <w:pPr>
        <w:pStyle w:val="SAAbullets"/>
      </w:pPr>
      <w:r w:rsidRPr="00877DC9">
        <w:t>included multiple forms of evidence demonstrating both knowledge acquisition and skill development</w:t>
      </w:r>
    </w:p>
    <w:p w14:paraId="5EE7AC52" w14:textId="774C73E1" w:rsidR="00877DC9" w:rsidRPr="00877DC9" w:rsidRDefault="00877DC9" w:rsidP="00C06F16">
      <w:pPr>
        <w:pStyle w:val="SAAbullets"/>
      </w:pPr>
      <w:r w:rsidRPr="00877DC9">
        <w:t>used annotated photographs, video evidence, or multimodal presentations to clearly demonstrate learning in action</w:t>
      </w:r>
    </w:p>
    <w:p w14:paraId="78CAAF23" w14:textId="0875D677" w:rsidR="00877DC9" w:rsidRPr="00877DC9" w:rsidRDefault="00877DC9" w:rsidP="00C06F16">
      <w:pPr>
        <w:pStyle w:val="SAAbullets"/>
      </w:pPr>
      <w:r w:rsidRPr="00877DC9">
        <w:t>demonstrated reflection or analysis of learning progress, including evaluation of performance or decision-making</w:t>
      </w:r>
    </w:p>
    <w:p w14:paraId="12ADBA65" w14:textId="571D7C75" w:rsidR="00877DC9" w:rsidRPr="00877DC9" w:rsidRDefault="00877DC9" w:rsidP="00C06F16">
      <w:pPr>
        <w:pStyle w:val="SAAbullets"/>
      </w:pPr>
      <w:r w:rsidRPr="00877DC9">
        <w:t>showed progression in understanding or skill development across the selected tasks.</w:t>
      </w:r>
    </w:p>
    <w:p w14:paraId="69036CC7" w14:textId="77777777" w:rsidR="00B30663" w:rsidRPr="00B30663" w:rsidRDefault="00B30663" w:rsidP="00C06F16">
      <w:pPr>
        <w:pStyle w:val="SAAMoreLess"/>
      </w:pPr>
      <w:r w:rsidRPr="00B30663">
        <w:t>The less successful responses commonly:</w:t>
      </w:r>
    </w:p>
    <w:p w14:paraId="092B190A" w14:textId="5D2221C1" w:rsidR="00DA48D0" w:rsidRPr="00DA48D0" w:rsidRDefault="00DA48D0" w:rsidP="00C06F16">
      <w:pPr>
        <w:pStyle w:val="SAAbullets"/>
      </w:pPr>
      <w:r w:rsidRPr="00DA48D0">
        <w:t>relied heavily on scaffolding or checklists, limiting opportunities for students to demonstrate higher-level achievement</w:t>
      </w:r>
    </w:p>
    <w:p w14:paraId="556C5226" w14:textId="299C1753" w:rsidR="00DA48D0" w:rsidRPr="00DA48D0" w:rsidRDefault="00DA48D0" w:rsidP="00C06F16">
      <w:pPr>
        <w:pStyle w:val="SAAbullets"/>
      </w:pPr>
      <w:r w:rsidRPr="00DA48D0">
        <w:t>provided minimal primary evidence of learning or skill application</w:t>
      </w:r>
    </w:p>
    <w:p w14:paraId="37985A84" w14:textId="78A64FB9" w:rsidR="00DA48D0" w:rsidRPr="00DA48D0" w:rsidRDefault="00DA48D0" w:rsidP="00C06F16">
      <w:pPr>
        <w:pStyle w:val="SAAbullets"/>
      </w:pPr>
      <w:r w:rsidRPr="00DA48D0">
        <w:t>included tasks with insufficient context, making it difficult to identify what learning was being demonstrated</w:t>
      </w:r>
    </w:p>
    <w:p w14:paraId="6AD54434" w14:textId="08A9A5B1" w:rsidR="00DA48D0" w:rsidRPr="00DA48D0" w:rsidRDefault="00DA48D0" w:rsidP="00C06F16">
      <w:pPr>
        <w:pStyle w:val="SAAbullets"/>
      </w:pPr>
      <w:r w:rsidRPr="00DA48D0">
        <w:t>divided a single learning task into multiple small components, reducing evidence of learning growth</w:t>
      </w:r>
      <w:r w:rsidR="00C06F16">
        <w:t>.</w:t>
      </w:r>
    </w:p>
    <w:p w14:paraId="6162BC14" w14:textId="244F9A27" w:rsidR="00B30663" w:rsidRPr="00B30663" w:rsidRDefault="00B30663" w:rsidP="00B30663">
      <w:pPr>
        <w:pStyle w:val="Heading2NoNumber"/>
      </w:pPr>
      <w:r w:rsidRPr="00B30663">
        <w:t xml:space="preserve">Assessment Type 2: </w:t>
      </w:r>
      <w:r w:rsidR="008E227E">
        <w:t>Reflection (20%)</w:t>
      </w:r>
      <w:r w:rsidR="00E34EC8">
        <w:t xml:space="preserve"> </w:t>
      </w:r>
    </w:p>
    <w:p w14:paraId="1A09592E" w14:textId="77777777" w:rsidR="008B50A8" w:rsidRDefault="008B50A8" w:rsidP="00C06F16">
      <w:pPr>
        <w:pStyle w:val="SAAbodytext"/>
      </w:pPr>
      <w:r>
        <w:t>Students reflect on the development of knowledge, concepts and skills related to the selected Stage 2 subject, as well as the development of their planning, organisational, problem solving and decision-making skills through their AT3: Community Application Activity. Lastly, students consider the development of their selected SACE capability using evidence of actions taken.</w:t>
      </w:r>
    </w:p>
    <w:p w14:paraId="73AF04A3" w14:textId="77777777" w:rsidR="008B50A8" w:rsidRDefault="008B50A8" w:rsidP="00C06F16">
      <w:pPr>
        <w:pStyle w:val="SAAbodytext"/>
      </w:pPr>
      <w:r>
        <w:t>For this assessment type, students provide evidence of their learning in relation to the assessment design criteria Reflection and Consideration (RC1, RC2, RC3).</w:t>
      </w:r>
    </w:p>
    <w:p w14:paraId="6CFDA494" w14:textId="77777777" w:rsidR="00B30663" w:rsidRPr="00B30663" w:rsidRDefault="00B30663" w:rsidP="00C06F16">
      <w:pPr>
        <w:pStyle w:val="SAAbodytext"/>
        <w:rPr>
          <w:i/>
        </w:rPr>
      </w:pPr>
      <w:r w:rsidRPr="00B30663">
        <w:t>Teachers can elicit more successful responses by:</w:t>
      </w:r>
    </w:p>
    <w:p w14:paraId="50F92309" w14:textId="65A48B9C" w:rsidR="008B50A8" w:rsidRPr="008B50A8" w:rsidRDefault="008B50A8" w:rsidP="00C06F16">
      <w:pPr>
        <w:pStyle w:val="SAAbullets"/>
      </w:pPr>
      <w:r w:rsidRPr="008B50A8">
        <w:t>guiding students to reflect on learning and skill development, rather than recounting actions taken</w:t>
      </w:r>
    </w:p>
    <w:p w14:paraId="00C1E7F1" w14:textId="15406A9C" w:rsidR="008B50A8" w:rsidRPr="008B50A8" w:rsidRDefault="008B50A8" w:rsidP="00C06F16">
      <w:pPr>
        <w:pStyle w:val="SAAbullets"/>
      </w:pPr>
      <w:r w:rsidRPr="008B50A8">
        <w:t>supporting students to make explicit connections between learning evidenced in the folio and their community application activity</w:t>
      </w:r>
    </w:p>
    <w:p w14:paraId="599FA2A6" w14:textId="21D5E6F5" w:rsidR="00B30663" w:rsidRPr="008B50A8" w:rsidRDefault="008B50A8" w:rsidP="00C06F16">
      <w:pPr>
        <w:pStyle w:val="SAAbullets"/>
        <w:rPr>
          <w:color w:val="0070C0"/>
        </w:rPr>
      </w:pPr>
      <w:r w:rsidRPr="008B50A8">
        <w:t>encouraging students to explore capability development broadly, including transferable and employability skills</w:t>
      </w:r>
      <w:r w:rsidR="00C06F16">
        <w:t>.</w:t>
      </w:r>
    </w:p>
    <w:p w14:paraId="2789EA2B" w14:textId="77777777" w:rsidR="00B30663" w:rsidRPr="00B30663" w:rsidRDefault="00B30663" w:rsidP="00C06F16">
      <w:pPr>
        <w:pStyle w:val="SAAMoreLess"/>
      </w:pPr>
      <w:r w:rsidRPr="00B30663">
        <w:t>The more successful responses commonly:</w:t>
      </w:r>
    </w:p>
    <w:p w14:paraId="7A1C231F" w14:textId="4CE2621E" w:rsidR="00D97509" w:rsidRPr="00D97509" w:rsidRDefault="00D97509" w:rsidP="00C06F16">
      <w:pPr>
        <w:pStyle w:val="SAAbullets"/>
      </w:pPr>
      <w:r w:rsidRPr="00D97509">
        <w:t>evaluated strengths and limitations in their understanding and skills, and identified areas for further development</w:t>
      </w:r>
    </w:p>
    <w:p w14:paraId="247C5340" w14:textId="1BC9A73D" w:rsidR="00D97509" w:rsidRPr="00D97509" w:rsidRDefault="00D97509" w:rsidP="00C06F16">
      <w:pPr>
        <w:pStyle w:val="SAAbullets"/>
      </w:pPr>
      <w:r w:rsidRPr="00D97509">
        <w:t xml:space="preserve">explained how planning, organisation, and </w:t>
      </w:r>
      <w:r w:rsidR="00C06F16" w:rsidRPr="00D97509">
        <w:t>problem</w:t>
      </w:r>
      <w:r w:rsidR="00C06F16">
        <w:t>-solving</w:t>
      </w:r>
      <w:r w:rsidRPr="00D97509">
        <w:t xml:space="preserve"> strategies influenced the success of their activity</w:t>
      </w:r>
    </w:p>
    <w:p w14:paraId="509282CF" w14:textId="2381D62E" w:rsidR="00D97509" w:rsidRPr="00D97509" w:rsidRDefault="00D97509" w:rsidP="00C06F16">
      <w:pPr>
        <w:pStyle w:val="SAAbullets"/>
      </w:pPr>
      <w:r w:rsidRPr="00D97509">
        <w:t>articulated how learning evolved across the course and informed decisions made during the activity</w:t>
      </w:r>
    </w:p>
    <w:p w14:paraId="1FB120C2" w14:textId="40BCBBEA" w:rsidR="00D97509" w:rsidRPr="00D97509" w:rsidRDefault="00D97509" w:rsidP="00C06F16">
      <w:pPr>
        <w:pStyle w:val="SAAbullets"/>
      </w:pPr>
      <w:r w:rsidRPr="00D97509">
        <w:t>evaluated capability development with specific examples linked to evidence.</w:t>
      </w:r>
    </w:p>
    <w:p w14:paraId="6CB0E087" w14:textId="3B126AB2" w:rsidR="00B30663" w:rsidRPr="00B30663" w:rsidRDefault="00B30663" w:rsidP="00C06F16">
      <w:pPr>
        <w:pStyle w:val="SAAMoreLess"/>
      </w:pPr>
      <w:r w:rsidRPr="00B30663">
        <w:lastRenderedPageBreak/>
        <w:t>The less successful responses commonly:</w:t>
      </w:r>
    </w:p>
    <w:p w14:paraId="1A17C2FD" w14:textId="7A3CF42C" w:rsidR="00D97509" w:rsidRPr="00D97509" w:rsidRDefault="00D97509" w:rsidP="00C06F16">
      <w:pPr>
        <w:pStyle w:val="SAAbullets"/>
      </w:pPr>
      <w:r w:rsidRPr="00D97509">
        <w:t>focused primarily on recounting the activity rather than reflecting on learning</w:t>
      </w:r>
    </w:p>
    <w:p w14:paraId="1CA0136B" w14:textId="7466B36C" w:rsidR="00D97509" w:rsidRPr="00D97509" w:rsidRDefault="00D97509" w:rsidP="00C06F16">
      <w:pPr>
        <w:pStyle w:val="SAAbullets"/>
      </w:pPr>
      <w:r w:rsidRPr="00D97509">
        <w:t>made broad or generic statements about capability development without supporting evidence</w:t>
      </w:r>
    </w:p>
    <w:p w14:paraId="4415A97E" w14:textId="670876A5" w:rsidR="00D97509" w:rsidRPr="00D97509" w:rsidRDefault="00D97509" w:rsidP="00C06F16">
      <w:pPr>
        <w:pStyle w:val="SAAbullets"/>
      </w:pPr>
      <w:r w:rsidRPr="00D97509">
        <w:t>demonstrated limited evaluation of decisions or outcomes</w:t>
      </w:r>
    </w:p>
    <w:p w14:paraId="0E141467" w14:textId="7463B1E6" w:rsidR="00D97509" w:rsidRPr="00D97509" w:rsidRDefault="00D97509" w:rsidP="00C06F16">
      <w:pPr>
        <w:pStyle w:val="SAAbullets"/>
      </w:pPr>
      <w:r w:rsidRPr="00D97509">
        <w:t>did not fully address RC3, reducing opportunities for higher</w:t>
      </w:r>
      <w:r>
        <w:t xml:space="preserve"> </w:t>
      </w:r>
      <w:r w:rsidRPr="00D97509">
        <w:t>grade achievement.</w:t>
      </w:r>
    </w:p>
    <w:p w14:paraId="5C4870E8" w14:textId="5AFCCB73" w:rsidR="00B30663" w:rsidRPr="00B30663" w:rsidRDefault="00CC0708" w:rsidP="00B30663">
      <w:pPr>
        <w:pStyle w:val="Heading1"/>
      </w:pPr>
      <w:r>
        <w:t>E</w:t>
      </w:r>
      <w:r w:rsidR="00B30663" w:rsidRPr="00B30663">
        <w:t>xternal Assessment</w:t>
      </w:r>
    </w:p>
    <w:p w14:paraId="7D3543D7" w14:textId="5BF27316" w:rsidR="00B30663" w:rsidRPr="00B30663" w:rsidRDefault="00B30663" w:rsidP="00B30663">
      <w:pPr>
        <w:pStyle w:val="Heading2NoNumber"/>
      </w:pPr>
      <w:r w:rsidRPr="00B30663">
        <w:t xml:space="preserve">Assessment Type 3: </w:t>
      </w:r>
      <w:r w:rsidR="00724188">
        <w:t>Community Application Activity (30%)</w:t>
      </w:r>
    </w:p>
    <w:p w14:paraId="1B90942A" w14:textId="77777777" w:rsidR="00724188" w:rsidRDefault="00724188" w:rsidP="00C06F16">
      <w:pPr>
        <w:pStyle w:val="SAAbodytext"/>
      </w:pPr>
      <w:r>
        <w:t>This assessment is designed by the student. Students connect their community application activity to a community context. They take and apply the knowledge, skills, and understanding of the aspect or area of interest to a community context. Students must demonstrate the assessment design criteria Application and Connection — AC1, AC2 and AC3.</w:t>
      </w:r>
    </w:p>
    <w:p w14:paraId="20681828" w14:textId="77777777" w:rsidR="00D97509" w:rsidRPr="00B30663" w:rsidRDefault="00D97509" w:rsidP="00C06F16">
      <w:pPr>
        <w:pStyle w:val="SAAbodytext"/>
        <w:rPr>
          <w:i/>
        </w:rPr>
      </w:pPr>
      <w:r w:rsidRPr="00B30663">
        <w:t>Teachers can elicit more successful responses by:</w:t>
      </w:r>
    </w:p>
    <w:p w14:paraId="66406CDC" w14:textId="777591F9" w:rsidR="00D97509" w:rsidRPr="00D97509" w:rsidRDefault="00D97509" w:rsidP="00C06F16">
      <w:pPr>
        <w:pStyle w:val="SAAbullets"/>
      </w:pPr>
      <w:r w:rsidRPr="00D97509">
        <w:t>encouraging students to select modes of evidence that clearly demonstrate planning, application, and community connection</w:t>
      </w:r>
    </w:p>
    <w:p w14:paraId="509D2B35" w14:textId="459AF39A" w:rsidR="00D97509" w:rsidRDefault="00D97509" w:rsidP="00C06F16">
      <w:pPr>
        <w:pStyle w:val="SAAbullets"/>
      </w:pPr>
      <w:r w:rsidRPr="00D97509">
        <w:t>supporting students to negotiate activities that extend beyond the classroom and require independent decision-making</w:t>
      </w:r>
      <w:r w:rsidR="00A24F8F">
        <w:t xml:space="preserve"> </w:t>
      </w:r>
    </w:p>
    <w:p w14:paraId="648035E8" w14:textId="6822588F" w:rsidR="00A24F8F" w:rsidRPr="00D97509" w:rsidRDefault="001E2CE5" w:rsidP="00C06F16">
      <w:pPr>
        <w:pStyle w:val="SAAbullets"/>
      </w:pPr>
      <w:r>
        <w:t xml:space="preserve">supporting </w:t>
      </w:r>
      <w:r w:rsidR="00C06F16">
        <w:t>student’s</w:t>
      </w:r>
      <w:r>
        <w:t xml:space="preserve"> authentic</w:t>
      </w:r>
      <w:r w:rsidR="00A24F8F">
        <w:t xml:space="preserve"> agency </w:t>
      </w:r>
      <w:r>
        <w:t>a</w:t>
      </w:r>
      <w:r w:rsidR="00A24F8F">
        <w:t xml:space="preserve">nd their activity </w:t>
      </w:r>
    </w:p>
    <w:p w14:paraId="388F70B0" w14:textId="1887E880" w:rsidR="00D97509" w:rsidRPr="00D97509" w:rsidRDefault="00D97509" w:rsidP="00C06F16">
      <w:pPr>
        <w:pStyle w:val="SAAbullets"/>
      </w:pPr>
      <w:r w:rsidRPr="00D97509">
        <w:t>emphasising the importance of documenting the process, not just the final product</w:t>
      </w:r>
      <w:r w:rsidR="00E50B6F">
        <w:t>.</w:t>
      </w:r>
    </w:p>
    <w:p w14:paraId="510FE4FF" w14:textId="77777777" w:rsidR="00B30663" w:rsidRPr="00B30663" w:rsidRDefault="00B30663" w:rsidP="00C06F16">
      <w:pPr>
        <w:pStyle w:val="SAAMoreLess"/>
      </w:pPr>
      <w:r w:rsidRPr="00B30663">
        <w:t>The more successful responses commonly:</w:t>
      </w:r>
    </w:p>
    <w:p w14:paraId="642ED5A9" w14:textId="0408AE08" w:rsidR="00607EEE" w:rsidRPr="00607EEE" w:rsidRDefault="00607EEE" w:rsidP="00C06F16">
      <w:pPr>
        <w:pStyle w:val="SAAbullets"/>
      </w:pPr>
      <w:r w:rsidRPr="00607EEE">
        <w:t>featured activities of personal interest that required genuine planning and decision-making</w:t>
      </w:r>
    </w:p>
    <w:p w14:paraId="73C790DA" w14:textId="30B64E0B" w:rsidR="00607EEE" w:rsidRPr="00607EEE" w:rsidRDefault="00607EEE" w:rsidP="00C06F16">
      <w:pPr>
        <w:pStyle w:val="SAAbullets"/>
      </w:pPr>
      <w:r w:rsidRPr="00607EEE">
        <w:t>demonstrated systematic planning using timelines, planning documents, or annotated evidence</w:t>
      </w:r>
    </w:p>
    <w:p w14:paraId="4A0D00F1" w14:textId="119421F2" w:rsidR="00607EEE" w:rsidRPr="00607EEE" w:rsidRDefault="00607EEE" w:rsidP="00C06F16">
      <w:pPr>
        <w:pStyle w:val="SAAbullets"/>
      </w:pPr>
      <w:r w:rsidRPr="00607EEE">
        <w:t>articulated how subject-specific knowledge and skills were applied and adapted in a community context</w:t>
      </w:r>
    </w:p>
    <w:p w14:paraId="6FEA003B" w14:textId="398368BC" w:rsidR="00607EEE" w:rsidRPr="00607EEE" w:rsidRDefault="00607EEE" w:rsidP="00C06F16">
      <w:pPr>
        <w:pStyle w:val="SAAbullets"/>
      </w:pPr>
      <w:r w:rsidRPr="00607EEE">
        <w:t>clearly explained benefits for both the student and the wider community</w:t>
      </w:r>
    </w:p>
    <w:p w14:paraId="7F17B9BC" w14:textId="6BEB39E5" w:rsidR="00607EEE" w:rsidRPr="00607EEE" w:rsidRDefault="00607EEE" w:rsidP="00C06F16">
      <w:pPr>
        <w:pStyle w:val="SAAbullets"/>
      </w:pPr>
      <w:r w:rsidRPr="00607EEE">
        <w:t>demonstrated authentic community connection through evidence of engagement or collaboration</w:t>
      </w:r>
    </w:p>
    <w:p w14:paraId="4C3D6D7D" w14:textId="66EC061F" w:rsidR="00607EEE" w:rsidRPr="00607EEE" w:rsidRDefault="00607EEE" w:rsidP="00C06F16">
      <w:pPr>
        <w:pStyle w:val="SAAbullets"/>
      </w:pPr>
      <w:r w:rsidRPr="00607EEE">
        <w:t>evaluated capability development using specific examples.</w:t>
      </w:r>
    </w:p>
    <w:p w14:paraId="538B6E7D" w14:textId="77777777" w:rsidR="00B30663" w:rsidRPr="00B30663" w:rsidRDefault="00B30663" w:rsidP="00C06F16">
      <w:pPr>
        <w:pStyle w:val="SAAMoreLess"/>
      </w:pPr>
      <w:r w:rsidRPr="00B30663">
        <w:t>The less successful responses commonly:</w:t>
      </w:r>
    </w:p>
    <w:p w14:paraId="13C211D2" w14:textId="0B815DCC" w:rsidR="00607EEE" w:rsidRPr="00607EEE" w:rsidRDefault="00607EEE" w:rsidP="00C06F16">
      <w:pPr>
        <w:pStyle w:val="SAAbullets"/>
      </w:pPr>
      <w:r w:rsidRPr="00607EEE">
        <w:t>relied on pre-existing classroom tasks with limited adaptation</w:t>
      </w:r>
    </w:p>
    <w:p w14:paraId="17326668" w14:textId="59D7652B" w:rsidR="00607EEE" w:rsidRPr="00607EEE" w:rsidRDefault="00607EEE" w:rsidP="00C06F16">
      <w:pPr>
        <w:pStyle w:val="SAAbullets"/>
      </w:pPr>
      <w:r w:rsidRPr="00607EEE">
        <w:t>provided minimal evidence of individual decision-making in group activities</w:t>
      </w:r>
    </w:p>
    <w:p w14:paraId="038F5157" w14:textId="5A450E92" w:rsidR="00607EEE" w:rsidRPr="00607EEE" w:rsidRDefault="00607EEE" w:rsidP="00C06F16">
      <w:pPr>
        <w:pStyle w:val="SAAbullets"/>
      </w:pPr>
      <w:r w:rsidRPr="00607EEE">
        <w:t>focused on describing the activity rather than demonstrating planning or application</w:t>
      </w:r>
    </w:p>
    <w:p w14:paraId="2C303ADE" w14:textId="3DB964B9" w:rsidR="00607EEE" w:rsidRPr="00607EEE" w:rsidRDefault="00607EEE" w:rsidP="00C06F16">
      <w:pPr>
        <w:pStyle w:val="SAAbullets"/>
      </w:pPr>
      <w:r w:rsidRPr="00607EEE">
        <w:t>made weak or generic connections to community benefit</w:t>
      </w:r>
    </w:p>
    <w:p w14:paraId="514F1C55" w14:textId="1C15C112" w:rsidR="00607EEE" w:rsidRPr="00607EEE" w:rsidRDefault="00607EEE" w:rsidP="00C06F16">
      <w:pPr>
        <w:pStyle w:val="SAAbullets"/>
      </w:pPr>
      <w:r w:rsidRPr="00607EEE">
        <w:t>omitted discussion of capability development.</w:t>
      </w:r>
    </w:p>
    <w:p w14:paraId="44592027" w14:textId="77777777" w:rsidR="00B30663" w:rsidRPr="00B30663" w:rsidRDefault="00B30663" w:rsidP="00B30663">
      <w:pPr>
        <w:pStyle w:val="Heading2NoNumber"/>
      </w:pPr>
      <w:r w:rsidRPr="00B30663">
        <w:t>General</w:t>
      </w:r>
    </w:p>
    <w:p w14:paraId="0EE93C60" w14:textId="4FFDD433" w:rsidR="00B30663" w:rsidRPr="001112EF" w:rsidRDefault="00C9475C" w:rsidP="00C06F16">
      <w:pPr>
        <w:pStyle w:val="SAAbodytext"/>
      </w:pPr>
      <w:r w:rsidRPr="00902B83">
        <w:t>Across all assessment types, student performance was strongest where tasks allowed for authentic application of learning, meaningful decision making, and reflection on growth over time. Tasks that were highly scaffolded or focused primarily on recount limited opportunities for students to demonstrate higher level achievement against the performance standards.</w:t>
      </w:r>
    </w:p>
    <w:sectPr w:rsidR="00B30663" w:rsidRPr="001112EF" w:rsidSect="00C06F16">
      <w:headerReference w:type="default" r:id="rId17"/>
      <w:footerReference w:type="default" r:id="rId18"/>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80AB4" w14:textId="77777777" w:rsidR="00001978" w:rsidRPr="000D4EDE" w:rsidRDefault="00001978" w:rsidP="000D4EDE">
      <w:r>
        <w:separator/>
      </w:r>
    </w:p>
  </w:endnote>
  <w:endnote w:type="continuationSeparator" w:id="0">
    <w:p w14:paraId="1D517AFA" w14:textId="77777777" w:rsidR="00001978" w:rsidRPr="000D4EDE" w:rsidRDefault="0000197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altName w:val="Arial"/>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51E7F" w14:textId="77777777" w:rsidR="00C06F16" w:rsidRDefault="00C06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D2177" w14:textId="52DDA9B1" w:rsidR="00C06F16" w:rsidRPr="00C06F16" w:rsidRDefault="00C06F16">
    <w:pPr>
      <w:pStyle w:val="Footer"/>
    </w:pPr>
    <w:r>
      <w:rPr>
        <w:color w:val="auto"/>
      </w:rPr>
      <w:t>Stage 2 Community Connections – 2025 Subject Assessment Advice</w:t>
    </w:r>
  </w:p>
  <w:p w14:paraId="31E84DA4" w14:textId="3392FBED" w:rsidR="00C06F16" w:rsidRDefault="00C06F16">
    <w:pPr>
      <w:pStyle w:val="Footer"/>
    </w:pPr>
    <w:r>
      <w:rPr>
        <w:color w:val="auto"/>
      </w:rPr>
      <w:t xml:space="preserve">Ref: A1709199 </w:t>
    </w:r>
    <w:r w:rsidRPr="005A77A8">
      <w:t>© SACE Board of South Australia 202</w:t>
    </w:r>
    <w: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800DE" w14:textId="77777777" w:rsidR="00C06F16" w:rsidRDefault="00C06F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3C8FD" w14:textId="77777777" w:rsidR="00C06F16" w:rsidRPr="005A77A8" w:rsidRDefault="005A77A8" w:rsidP="00C06F16">
    <w:pPr>
      <w:pStyle w:val="FootnoteText"/>
      <w:tabs>
        <w:tab w:val="right" w:pos="9070"/>
      </w:tabs>
    </w:pPr>
    <w:r w:rsidRPr="005A77A8">
      <w:t xml:space="preserve">Stage 2 </w:t>
    </w:r>
    <w:r w:rsidR="00D97509" w:rsidRPr="003973E3">
      <w:t>Community Connections</w:t>
    </w:r>
    <w:r w:rsidRPr="005A77A8">
      <w:t xml:space="preserve"> – 202</w:t>
    </w:r>
    <w:r w:rsidR="00CC0708">
      <w:t>5</w:t>
    </w:r>
    <w:r w:rsidRPr="005A77A8">
      <w:t xml:space="preserve"> Subject Assessment Advice</w:t>
    </w:r>
    <w:r w:rsidRPr="005A77A8">
      <w:tab/>
    </w:r>
    <w:r w:rsidR="00C06F16" w:rsidRPr="005A77A8">
      <w:t xml:space="preserve">Page </w:t>
    </w:r>
    <w:r w:rsidR="00C06F16" w:rsidRPr="005A77A8">
      <w:rPr>
        <w:sz w:val="24"/>
        <w:szCs w:val="24"/>
      </w:rPr>
      <w:fldChar w:fldCharType="begin"/>
    </w:r>
    <w:r w:rsidR="00C06F16" w:rsidRPr="005A77A8">
      <w:instrText xml:space="preserve"> PAGE </w:instrText>
    </w:r>
    <w:r w:rsidR="00C06F16" w:rsidRPr="005A77A8">
      <w:rPr>
        <w:sz w:val="24"/>
        <w:szCs w:val="24"/>
      </w:rPr>
      <w:fldChar w:fldCharType="separate"/>
    </w:r>
    <w:r w:rsidR="00C06F16">
      <w:rPr>
        <w:sz w:val="24"/>
        <w:szCs w:val="24"/>
      </w:rPr>
      <w:t>2</w:t>
    </w:r>
    <w:r w:rsidR="00C06F16" w:rsidRPr="005A77A8">
      <w:rPr>
        <w:sz w:val="24"/>
        <w:szCs w:val="24"/>
      </w:rPr>
      <w:fldChar w:fldCharType="end"/>
    </w:r>
    <w:r w:rsidR="00C06F16" w:rsidRPr="005A77A8">
      <w:t xml:space="preserve"> of </w:t>
    </w:r>
    <w:r w:rsidR="00C06F16">
      <w:fldChar w:fldCharType="begin"/>
    </w:r>
    <w:r w:rsidR="00C06F16">
      <w:instrText xml:space="preserve"> NUMPAGES  </w:instrText>
    </w:r>
    <w:r w:rsidR="00C06F16">
      <w:fldChar w:fldCharType="separate"/>
    </w:r>
    <w:r w:rsidR="00C06F16">
      <w:t>3</w:t>
    </w:r>
    <w:r w:rsidR="00C06F16">
      <w:rPr>
        <w:sz w:val="24"/>
        <w:szCs w:val="24"/>
      </w:rPr>
      <w:fldChar w:fldCharType="end"/>
    </w:r>
  </w:p>
  <w:p w14:paraId="63CD73FD" w14:textId="6A3294A8" w:rsidR="005A77A8" w:rsidRPr="005A77A8" w:rsidRDefault="005A77A8" w:rsidP="00C605F6">
    <w:pPr>
      <w:pStyle w:val="FootnoteText"/>
      <w:tabs>
        <w:tab w:val="right" w:pos="9070"/>
      </w:tabs>
    </w:pPr>
    <w:r w:rsidRPr="005A77A8">
      <w:t>Ref</w:t>
    </w:r>
    <w:r w:rsidR="00CC0708">
      <w:t xml:space="preserve">: </w:t>
    </w:r>
    <w:r w:rsidR="00C06F16">
      <w:t>A1709199</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F4215" w14:textId="77777777" w:rsidR="00001978" w:rsidRPr="000D4EDE" w:rsidRDefault="00001978" w:rsidP="000D4EDE">
      <w:r>
        <w:separator/>
      </w:r>
    </w:p>
  </w:footnote>
  <w:footnote w:type="continuationSeparator" w:id="0">
    <w:p w14:paraId="5B1436D4" w14:textId="77777777" w:rsidR="00001978" w:rsidRPr="000D4EDE" w:rsidRDefault="00001978"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0DEF3" w14:textId="77777777" w:rsidR="00C06F16" w:rsidRDefault="00C06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9A566" w14:textId="77777777" w:rsidR="00C06F16" w:rsidRDefault="00C06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B04B3" w14:textId="77777777" w:rsidR="00C06F16" w:rsidRDefault="00C06F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E226E4D"/>
    <w:multiLevelType w:val="hybridMultilevel"/>
    <w:tmpl w:val="65FE2996"/>
    <w:lvl w:ilvl="0" w:tplc="DD406EE0">
      <w:numFmt w:val="bullet"/>
      <w:pStyle w:val="SAAbullets"/>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4FE6A162"/>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622804347">
    <w:abstractNumId w:val="9"/>
  </w:num>
  <w:num w:numId="2" w16cid:durableId="473179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0650610">
    <w:abstractNumId w:val="1"/>
  </w:num>
  <w:num w:numId="4" w16cid:durableId="1243180135">
    <w:abstractNumId w:val="0"/>
  </w:num>
  <w:num w:numId="5" w16cid:durableId="1304434425">
    <w:abstractNumId w:val="3"/>
  </w:num>
  <w:num w:numId="6" w16cid:durableId="1613780899">
    <w:abstractNumId w:val="6"/>
  </w:num>
  <w:num w:numId="7" w16cid:durableId="789714155">
    <w:abstractNumId w:val="7"/>
  </w:num>
  <w:num w:numId="8" w16cid:durableId="1902402893">
    <w:abstractNumId w:val="8"/>
  </w:num>
  <w:num w:numId="9" w16cid:durableId="1822190631">
    <w:abstractNumId w:val="2"/>
  </w:num>
  <w:num w:numId="10" w16cid:durableId="104736094">
    <w:abstractNumId w:val="4"/>
  </w:num>
  <w:num w:numId="11" w16cid:durableId="15762339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1978"/>
    <w:rsid w:val="00005D98"/>
    <w:rsid w:val="00006E0E"/>
    <w:rsid w:val="00010D5E"/>
    <w:rsid w:val="00011C96"/>
    <w:rsid w:val="000141B9"/>
    <w:rsid w:val="00034A19"/>
    <w:rsid w:val="00036F9E"/>
    <w:rsid w:val="000413B3"/>
    <w:rsid w:val="00050C08"/>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0A20"/>
    <w:rsid w:val="001066AD"/>
    <w:rsid w:val="001112EF"/>
    <w:rsid w:val="00123576"/>
    <w:rsid w:val="00124B21"/>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2CE5"/>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3C0D"/>
    <w:rsid w:val="0025782A"/>
    <w:rsid w:val="002661A6"/>
    <w:rsid w:val="00266505"/>
    <w:rsid w:val="00266C23"/>
    <w:rsid w:val="00285600"/>
    <w:rsid w:val="00286EAD"/>
    <w:rsid w:val="0029389B"/>
    <w:rsid w:val="00296F7F"/>
    <w:rsid w:val="002A1894"/>
    <w:rsid w:val="002A2188"/>
    <w:rsid w:val="002A36F2"/>
    <w:rsid w:val="002A4104"/>
    <w:rsid w:val="002A7D14"/>
    <w:rsid w:val="002B0913"/>
    <w:rsid w:val="002B28E4"/>
    <w:rsid w:val="002B7504"/>
    <w:rsid w:val="002C0D97"/>
    <w:rsid w:val="002C186C"/>
    <w:rsid w:val="002C66D1"/>
    <w:rsid w:val="002C7065"/>
    <w:rsid w:val="002C7F4A"/>
    <w:rsid w:val="002D2804"/>
    <w:rsid w:val="002D4B6C"/>
    <w:rsid w:val="002D5274"/>
    <w:rsid w:val="002D53CE"/>
    <w:rsid w:val="002F0C2C"/>
    <w:rsid w:val="00300655"/>
    <w:rsid w:val="00303D18"/>
    <w:rsid w:val="00307ADD"/>
    <w:rsid w:val="00312A66"/>
    <w:rsid w:val="003130CA"/>
    <w:rsid w:val="003170E9"/>
    <w:rsid w:val="003175B0"/>
    <w:rsid w:val="00322B20"/>
    <w:rsid w:val="003506BD"/>
    <w:rsid w:val="003517AE"/>
    <w:rsid w:val="0035732A"/>
    <w:rsid w:val="003633D1"/>
    <w:rsid w:val="00371F54"/>
    <w:rsid w:val="00374727"/>
    <w:rsid w:val="0037770C"/>
    <w:rsid w:val="00377C8B"/>
    <w:rsid w:val="0038268A"/>
    <w:rsid w:val="00383A95"/>
    <w:rsid w:val="00385CA0"/>
    <w:rsid w:val="003973E3"/>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A7E4D"/>
    <w:rsid w:val="004B584E"/>
    <w:rsid w:val="004C1106"/>
    <w:rsid w:val="004C1634"/>
    <w:rsid w:val="004C6D4B"/>
    <w:rsid w:val="004E2269"/>
    <w:rsid w:val="004E6962"/>
    <w:rsid w:val="004F3339"/>
    <w:rsid w:val="004F72A2"/>
    <w:rsid w:val="00500FC7"/>
    <w:rsid w:val="005026D4"/>
    <w:rsid w:val="00503A51"/>
    <w:rsid w:val="0051007F"/>
    <w:rsid w:val="00512309"/>
    <w:rsid w:val="005209A4"/>
    <w:rsid w:val="00521D3D"/>
    <w:rsid w:val="00542522"/>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07EEE"/>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69EA"/>
    <w:rsid w:val="006A74F2"/>
    <w:rsid w:val="006C11AD"/>
    <w:rsid w:val="006F145A"/>
    <w:rsid w:val="006F27CB"/>
    <w:rsid w:val="006F359B"/>
    <w:rsid w:val="006F5865"/>
    <w:rsid w:val="006F74B8"/>
    <w:rsid w:val="00700805"/>
    <w:rsid w:val="00701EC6"/>
    <w:rsid w:val="00706179"/>
    <w:rsid w:val="00714F78"/>
    <w:rsid w:val="007170F7"/>
    <w:rsid w:val="00724188"/>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4E0D"/>
    <w:rsid w:val="007859C4"/>
    <w:rsid w:val="007860F1"/>
    <w:rsid w:val="00791738"/>
    <w:rsid w:val="00791780"/>
    <w:rsid w:val="00792BFF"/>
    <w:rsid w:val="007A02F7"/>
    <w:rsid w:val="007A0EB7"/>
    <w:rsid w:val="007A136D"/>
    <w:rsid w:val="007A6AEC"/>
    <w:rsid w:val="007C08B1"/>
    <w:rsid w:val="007C2CC2"/>
    <w:rsid w:val="007C38BD"/>
    <w:rsid w:val="007C3DA5"/>
    <w:rsid w:val="007C79AA"/>
    <w:rsid w:val="007D1A02"/>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EF7"/>
    <w:rsid w:val="00844F5C"/>
    <w:rsid w:val="00845843"/>
    <w:rsid w:val="00846D34"/>
    <w:rsid w:val="00854447"/>
    <w:rsid w:val="00860E61"/>
    <w:rsid w:val="008637EC"/>
    <w:rsid w:val="00870BC6"/>
    <w:rsid w:val="00877DC9"/>
    <w:rsid w:val="0088036D"/>
    <w:rsid w:val="00881155"/>
    <w:rsid w:val="00882892"/>
    <w:rsid w:val="00885A14"/>
    <w:rsid w:val="0088689B"/>
    <w:rsid w:val="00890FA0"/>
    <w:rsid w:val="008947BF"/>
    <w:rsid w:val="00895C87"/>
    <w:rsid w:val="008A214D"/>
    <w:rsid w:val="008A5B5C"/>
    <w:rsid w:val="008A72D2"/>
    <w:rsid w:val="008A74A3"/>
    <w:rsid w:val="008B50A8"/>
    <w:rsid w:val="008B6868"/>
    <w:rsid w:val="008B6D24"/>
    <w:rsid w:val="008C6A43"/>
    <w:rsid w:val="008C715C"/>
    <w:rsid w:val="008D080C"/>
    <w:rsid w:val="008D6437"/>
    <w:rsid w:val="008D6EDF"/>
    <w:rsid w:val="008E227E"/>
    <w:rsid w:val="008E3EF5"/>
    <w:rsid w:val="008F19E6"/>
    <w:rsid w:val="008F33B5"/>
    <w:rsid w:val="008F5C4A"/>
    <w:rsid w:val="00902B83"/>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1EBE"/>
    <w:rsid w:val="009A45B2"/>
    <w:rsid w:val="009A5585"/>
    <w:rsid w:val="009A59D5"/>
    <w:rsid w:val="009C2705"/>
    <w:rsid w:val="009C4ABD"/>
    <w:rsid w:val="009C5FDF"/>
    <w:rsid w:val="009D2DDD"/>
    <w:rsid w:val="009F22A4"/>
    <w:rsid w:val="00A10DA6"/>
    <w:rsid w:val="00A145C9"/>
    <w:rsid w:val="00A151E9"/>
    <w:rsid w:val="00A15DBB"/>
    <w:rsid w:val="00A24F8F"/>
    <w:rsid w:val="00A259F2"/>
    <w:rsid w:val="00A33802"/>
    <w:rsid w:val="00A37162"/>
    <w:rsid w:val="00A37E51"/>
    <w:rsid w:val="00A42462"/>
    <w:rsid w:val="00A53690"/>
    <w:rsid w:val="00A62D31"/>
    <w:rsid w:val="00A63380"/>
    <w:rsid w:val="00A865C7"/>
    <w:rsid w:val="00A97E3B"/>
    <w:rsid w:val="00AA20A1"/>
    <w:rsid w:val="00AA3495"/>
    <w:rsid w:val="00AA41F2"/>
    <w:rsid w:val="00AB039E"/>
    <w:rsid w:val="00AB4206"/>
    <w:rsid w:val="00AC0878"/>
    <w:rsid w:val="00AC6C84"/>
    <w:rsid w:val="00AC7E54"/>
    <w:rsid w:val="00AD7847"/>
    <w:rsid w:val="00AE6A4E"/>
    <w:rsid w:val="00AE7B98"/>
    <w:rsid w:val="00AF129F"/>
    <w:rsid w:val="00AF343C"/>
    <w:rsid w:val="00B055D9"/>
    <w:rsid w:val="00B12DC9"/>
    <w:rsid w:val="00B134A7"/>
    <w:rsid w:val="00B13F84"/>
    <w:rsid w:val="00B14604"/>
    <w:rsid w:val="00B15ABA"/>
    <w:rsid w:val="00B16800"/>
    <w:rsid w:val="00B20FD9"/>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E7E5C"/>
    <w:rsid w:val="00BF17C6"/>
    <w:rsid w:val="00BF4E46"/>
    <w:rsid w:val="00C00FDA"/>
    <w:rsid w:val="00C02EB9"/>
    <w:rsid w:val="00C04E4B"/>
    <w:rsid w:val="00C05687"/>
    <w:rsid w:val="00C06F16"/>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475C"/>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54E1"/>
    <w:rsid w:val="00D367EB"/>
    <w:rsid w:val="00D45731"/>
    <w:rsid w:val="00D45954"/>
    <w:rsid w:val="00D461C2"/>
    <w:rsid w:val="00D61AAE"/>
    <w:rsid w:val="00D64CB8"/>
    <w:rsid w:val="00D71B9E"/>
    <w:rsid w:val="00D72FD8"/>
    <w:rsid w:val="00D741AA"/>
    <w:rsid w:val="00D872B0"/>
    <w:rsid w:val="00D948F2"/>
    <w:rsid w:val="00D9697A"/>
    <w:rsid w:val="00D97509"/>
    <w:rsid w:val="00DA0054"/>
    <w:rsid w:val="00DA48D0"/>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45B"/>
    <w:rsid w:val="00E21653"/>
    <w:rsid w:val="00E2414E"/>
    <w:rsid w:val="00E26830"/>
    <w:rsid w:val="00E31A22"/>
    <w:rsid w:val="00E34EC8"/>
    <w:rsid w:val="00E40B36"/>
    <w:rsid w:val="00E43968"/>
    <w:rsid w:val="00E45FB9"/>
    <w:rsid w:val="00E50B6F"/>
    <w:rsid w:val="00E51672"/>
    <w:rsid w:val="00E55EE5"/>
    <w:rsid w:val="00E625B3"/>
    <w:rsid w:val="00E64743"/>
    <w:rsid w:val="00E7257D"/>
    <w:rsid w:val="00E728CB"/>
    <w:rsid w:val="00E7336F"/>
    <w:rsid w:val="00E7485C"/>
    <w:rsid w:val="00E76262"/>
    <w:rsid w:val="00E77897"/>
    <w:rsid w:val="00E84A6B"/>
    <w:rsid w:val="00E92385"/>
    <w:rsid w:val="00E96DEA"/>
    <w:rsid w:val="00EA1585"/>
    <w:rsid w:val="00EA48AE"/>
    <w:rsid w:val="00EB09E2"/>
    <w:rsid w:val="00EB74A5"/>
    <w:rsid w:val="00EC1F55"/>
    <w:rsid w:val="00EE0126"/>
    <w:rsid w:val="00EF2A15"/>
    <w:rsid w:val="00EF5BFD"/>
    <w:rsid w:val="00EF6949"/>
    <w:rsid w:val="00F01C6F"/>
    <w:rsid w:val="00F06EE2"/>
    <w:rsid w:val="00F074DC"/>
    <w:rsid w:val="00F13B68"/>
    <w:rsid w:val="00F24F8F"/>
    <w:rsid w:val="00F307E0"/>
    <w:rsid w:val="00F31D9D"/>
    <w:rsid w:val="00F34D63"/>
    <w:rsid w:val="00F4238D"/>
    <w:rsid w:val="00F54CBE"/>
    <w:rsid w:val="00F557C2"/>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AAbulletsChar">
    <w:name w:val="SAA bullets Char"/>
    <w:basedOn w:val="DefaultParagraphFont"/>
    <w:link w:val="SAAbullets"/>
    <w:locked/>
    <w:rsid w:val="004A7E4D"/>
    <w:rPr>
      <w:color w:val="auto"/>
      <w:szCs w:val="22"/>
    </w:rPr>
  </w:style>
  <w:style w:type="paragraph" w:customStyle="1" w:styleId="SAAbullets">
    <w:name w:val="SAA bullets"/>
    <w:next w:val="Normal"/>
    <w:link w:val="SAAbulletsChar"/>
    <w:qFormat/>
    <w:rsid w:val="004A7E4D"/>
    <w:pPr>
      <w:numPr>
        <w:numId w:val="10"/>
      </w:numPr>
      <w:spacing w:before="120" w:after="0"/>
    </w:pPr>
    <w:rPr>
      <w:color w:val="auto"/>
      <w:szCs w:val="22"/>
    </w:rPr>
  </w:style>
  <w:style w:type="paragraph" w:customStyle="1" w:styleId="SAAbodytext">
    <w:name w:val="SAA body text"/>
    <w:next w:val="Normal"/>
    <w:qFormat/>
    <w:rsid w:val="00253C0D"/>
    <w:pPr>
      <w:spacing w:before="120" w:after="0"/>
    </w:pPr>
    <w:rPr>
      <w:color w:val="auto"/>
    </w:rPr>
  </w:style>
  <w:style w:type="paragraph" w:customStyle="1" w:styleId="SAAMoreLess">
    <w:name w:val="SAA More Less"/>
    <w:basedOn w:val="Normal"/>
    <w:link w:val="SAAMoreLessChar"/>
    <w:qFormat/>
    <w:rsid w:val="00C06F16"/>
    <w:pPr>
      <w:spacing w:before="160"/>
    </w:pPr>
    <w:rPr>
      <w:i/>
    </w:rPr>
  </w:style>
  <w:style w:type="character" w:customStyle="1" w:styleId="SAAMoreLessChar">
    <w:name w:val="SAA More Less Char"/>
    <w:basedOn w:val="DefaultParagraphFont"/>
    <w:link w:val="SAAMoreLess"/>
    <w:rsid w:val="00C06F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59261">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13810563">
      <w:bodyDiv w:val="1"/>
      <w:marLeft w:val="0"/>
      <w:marRight w:val="0"/>
      <w:marTop w:val="0"/>
      <w:marBottom w:val="0"/>
      <w:divBdr>
        <w:top w:val="none" w:sz="0" w:space="0" w:color="auto"/>
        <w:left w:val="none" w:sz="0" w:space="0" w:color="auto"/>
        <w:bottom w:val="none" w:sz="0" w:space="0" w:color="auto"/>
        <w:right w:val="none" w:sz="0" w:space="0" w:color="auto"/>
      </w:divBdr>
    </w:div>
    <w:div w:id="226689536">
      <w:bodyDiv w:val="1"/>
      <w:marLeft w:val="0"/>
      <w:marRight w:val="0"/>
      <w:marTop w:val="0"/>
      <w:marBottom w:val="0"/>
      <w:divBdr>
        <w:top w:val="none" w:sz="0" w:space="0" w:color="auto"/>
        <w:left w:val="none" w:sz="0" w:space="0" w:color="auto"/>
        <w:bottom w:val="none" w:sz="0" w:space="0" w:color="auto"/>
        <w:right w:val="none" w:sz="0" w:space="0" w:color="auto"/>
      </w:divBdr>
    </w:div>
    <w:div w:id="303581969">
      <w:bodyDiv w:val="1"/>
      <w:marLeft w:val="0"/>
      <w:marRight w:val="0"/>
      <w:marTop w:val="0"/>
      <w:marBottom w:val="0"/>
      <w:divBdr>
        <w:top w:val="none" w:sz="0" w:space="0" w:color="auto"/>
        <w:left w:val="none" w:sz="0" w:space="0" w:color="auto"/>
        <w:bottom w:val="none" w:sz="0" w:space="0" w:color="auto"/>
        <w:right w:val="none" w:sz="0" w:space="0" w:color="auto"/>
      </w:divBdr>
    </w:div>
    <w:div w:id="310335299">
      <w:bodyDiv w:val="1"/>
      <w:marLeft w:val="0"/>
      <w:marRight w:val="0"/>
      <w:marTop w:val="0"/>
      <w:marBottom w:val="0"/>
      <w:divBdr>
        <w:top w:val="none" w:sz="0" w:space="0" w:color="auto"/>
        <w:left w:val="none" w:sz="0" w:space="0" w:color="auto"/>
        <w:bottom w:val="none" w:sz="0" w:space="0" w:color="auto"/>
        <w:right w:val="none" w:sz="0" w:space="0" w:color="auto"/>
      </w:divBdr>
    </w:div>
    <w:div w:id="490559048">
      <w:bodyDiv w:val="1"/>
      <w:marLeft w:val="0"/>
      <w:marRight w:val="0"/>
      <w:marTop w:val="0"/>
      <w:marBottom w:val="0"/>
      <w:divBdr>
        <w:top w:val="none" w:sz="0" w:space="0" w:color="auto"/>
        <w:left w:val="none" w:sz="0" w:space="0" w:color="auto"/>
        <w:bottom w:val="none" w:sz="0" w:space="0" w:color="auto"/>
        <w:right w:val="none" w:sz="0" w:space="0" w:color="auto"/>
      </w:divBdr>
    </w:div>
    <w:div w:id="576717680">
      <w:bodyDiv w:val="1"/>
      <w:marLeft w:val="0"/>
      <w:marRight w:val="0"/>
      <w:marTop w:val="0"/>
      <w:marBottom w:val="0"/>
      <w:divBdr>
        <w:top w:val="none" w:sz="0" w:space="0" w:color="auto"/>
        <w:left w:val="none" w:sz="0" w:space="0" w:color="auto"/>
        <w:bottom w:val="none" w:sz="0" w:space="0" w:color="auto"/>
        <w:right w:val="none" w:sz="0" w:space="0" w:color="auto"/>
      </w:divBdr>
    </w:div>
    <w:div w:id="670763488">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98059486">
      <w:bodyDiv w:val="1"/>
      <w:marLeft w:val="0"/>
      <w:marRight w:val="0"/>
      <w:marTop w:val="0"/>
      <w:marBottom w:val="0"/>
      <w:divBdr>
        <w:top w:val="none" w:sz="0" w:space="0" w:color="auto"/>
        <w:left w:val="none" w:sz="0" w:space="0" w:color="auto"/>
        <w:bottom w:val="none" w:sz="0" w:space="0" w:color="auto"/>
        <w:right w:val="none" w:sz="0" w:space="0" w:color="auto"/>
      </w:divBdr>
    </w:div>
    <w:div w:id="1201626989">
      <w:bodyDiv w:val="1"/>
      <w:marLeft w:val="0"/>
      <w:marRight w:val="0"/>
      <w:marTop w:val="0"/>
      <w:marBottom w:val="0"/>
      <w:divBdr>
        <w:top w:val="none" w:sz="0" w:space="0" w:color="auto"/>
        <w:left w:val="none" w:sz="0" w:space="0" w:color="auto"/>
        <w:bottom w:val="none" w:sz="0" w:space="0" w:color="auto"/>
        <w:right w:val="none" w:sz="0" w:space="0" w:color="auto"/>
      </w:divBdr>
    </w:div>
    <w:div w:id="1240361708">
      <w:bodyDiv w:val="1"/>
      <w:marLeft w:val="0"/>
      <w:marRight w:val="0"/>
      <w:marTop w:val="0"/>
      <w:marBottom w:val="0"/>
      <w:divBdr>
        <w:top w:val="none" w:sz="0" w:space="0" w:color="auto"/>
        <w:left w:val="none" w:sz="0" w:space="0" w:color="auto"/>
        <w:bottom w:val="none" w:sz="0" w:space="0" w:color="auto"/>
        <w:right w:val="none" w:sz="0" w:space="0" w:color="auto"/>
      </w:divBdr>
    </w:div>
    <w:div w:id="1516268384">
      <w:bodyDiv w:val="1"/>
      <w:marLeft w:val="0"/>
      <w:marRight w:val="0"/>
      <w:marTop w:val="0"/>
      <w:marBottom w:val="0"/>
      <w:divBdr>
        <w:top w:val="none" w:sz="0" w:space="0" w:color="auto"/>
        <w:left w:val="none" w:sz="0" w:space="0" w:color="auto"/>
        <w:bottom w:val="none" w:sz="0" w:space="0" w:color="auto"/>
        <w:right w:val="none" w:sz="0" w:space="0" w:color="auto"/>
      </w:divBdr>
    </w:div>
    <w:div w:id="151900341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14701996">
      <w:bodyDiv w:val="1"/>
      <w:marLeft w:val="0"/>
      <w:marRight w:val="0"/>
      <w:marTop w:val="0"/>
      <w:marBottom w:val="0"/>
      <w:divBdr>
        <w:top w:val="none" w:sz="0" w:space="0" w:color="auto"/>
        <w:left w:val="none" w:sz="0" w:space="0" w:color="auto"/>
        <w:bottom w:val="none" w:sz="0" w:space="0" w:color="auto"/>
        <w:right w:val="none" w:sz="0" w:space="0" w:color="auto"/>
      </w:divBdr>
    </w:div>
    <w:div w:id="1770420867">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05784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A1709199</value>
    </field>
    <field name="Objective-Title">
      <value order="0">2025 Community Connections Subject Assessment Advice</value>
    </field>
    <field name="Objective-Description">
      <value order="0"/>
    </field>
    <field name="Objective-CreationStamp">
      <value order="0">2026-01-09T04:47:06Z</value>
    </field>
    <field name="Objective-IsApproved">
      <value order="0">false</value>
    </field>
    <field name="Objective-IsPublished">
      <value order="0">true</value>
    </field>
    <field name="Objective-DatePublished">
      <value order="0">2026-01-29T23:22:33Z</value>
    </field>
    <field name="Objective-ModificationStamp">
      <value order="0">2026-01-29T23:23:36Z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vA2482496</value>
    </field>
    <field name="Objective-Version">
      <value order="0">3.0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695E397-78A1-4F4B-AB5E-016519C02AE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2026-01-29T23:39:00Z</dcterms:created>
  <dcterms:modified xsi:type="dcterms:W3CDTF">2026-01-29T23:39:00Z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A1709199</vt:lpwstr>
  </property>
  <property fmtid="{D5CDD505-2E9C-101B-9397-08002B2CF9AE}" pid="14" name="Objective-Title">
    <vt:lpwstr>2025 Community Connections Subject Assessment Advice</vt:lpwstr>
  </property>
  <property fmtid="{D5CDD505-2E9C-101B-9397-08002B2CF9AE}" pid="15" name="Objective-Description">
    <vt:lpwstr/>
  </property>
  <property fmtid="{D5CDD505-2E9C-101B-9397-08002B2CF9AE}" pid="16" name="Objective-CreationStamp">
    <vt:filetime>2026-01-09T04:47:06Z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2026-01-29T23:22:33Z</vt:filetime>
  </property>
  <property fmtid="{D5CDD505-2E9C-101B-9397-08002B2CF9AE}" pid="20" name="Objective-ModificationStamp">
    <vt:filetime>2026-01-29T23:23:36Z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vA2482496</vt:lpwstr>
  </property>
  <property fmtid="{D5CDD505-2E9C-101B-9397-08002B2CF9AE}" pid="26" name="Objective-Version">
    <vt:lpwstr>3.0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