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626BE8" w:rsidRDefault="00363DFA" w:rsidP="00626BE8">
      <w:r>
        <w:rPr>
          <w:noProof/>
          <w:lang w:eastAsia="en-AU"/>
        </w:rPr>
        <w:drawing>
          <wp:inline distT="0" distB="0" distL="0" distR="0">
            <wp:extent cx="2087999" cy="736425"/>
            <wp:effectExtent l="0" t="0" r="7620" b="6985"/>
            <wp:docPr id="1" name="Picture 1"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1A0F23" w:rsidRPr="00626BE8" w:rsidRDefault="001A0F23" w:rsidP="00626BE8"/>
    <w:p w:rsidR="001A0F23" w:rsidRPr="00225FC5" w:rsidRDefault="005B0378" w:rsidP="001A0F23">
      <w:pPr>
        <w:pStyle w:val="FrontPageHeading"/>
        <w:spacing w:before="4200"/>
      </w:pPr>
      <w:r>
        <w:t>Research Project A</w:t>
      </w:r>
    </w:p>
    <w:p w:rsidR="001A0F23" w:rsidRPr="00225FC5" w:rsidRDefault="001A0F23" w:rsidP="001A0F23">
      <w:pPr>
        <w:pStyle w:val="FrontPageSub-heading"/>
      </w:pPr>
      <w:r>
        <w:t>2014 Chief Assessor’s Report</w:t>
      </w:r>
    </w:p>
    <w:p w:rsidR="001A0F23" w:rsidRPr="00626BE8" w:rsidRDefault="001A0F23" w:rsidP="00626BE8"/>
    <w:p w:rsidR="002F252F" w:rsidRPr="00626BE8" w:rsidRDefault="002F252F" w:rsidP="00626BE8">
      <w:pPr>
        <w:sectPr w:rsidR="002F252F" w:rsidRPr="00626BE8">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DB4EFC" w:rsidRPr="00DB4EFC" w:rsidRDefault="00DB4EFC" w:rsidP="00363DFA">
      <w:pPr>
        <w:pStyle w:val="Heading1"/>
      </w:pPr>
      <w:r w:rsidRPr="00DB4EFC">
        <w:lastRenderedPageBreak/>
        <w:t>Research Project</w:t>
      </w:r>
      <w:r w:rsidR="00D01686">
        <w:t xml:space="preserve"> A</w:t>
      </w:r>
    </w:p>
    <w:p w:rsidR="00DB4EFC" w:rsidRPr="00DB4EFC" w:rsidRDefault="00DB4EFC" w:rsidP="00363DFA">
      <w:pPr>
        <w:pStyle w:val="Heading1"/>
      </w:pPr>
    </w:p>
    <w:p w:rsidR="00DB4EFC" w:rsidRPr="00DB4EFC" w:rsidRDefault="00DB4EFC" w:rsidP="00363DFA">
      <w:pPr>
        <w:pStyle w:val="Heading1"/>
      </w:pPr>
      <w:r w:rsidRPr="00DB4EFC">
        <w:t>2014 Chief Assessor’s Report</w:t>
      </w:r>
    </w:p>
    <w:p w:rsidR="00DB4EFC" w:rsidRPr="00DF42D8" w:rsidRDefault="00DB4EFC" w:rsidP="00DB4EFC">
      <w:pPr>
        <w:pStyle w:val="Heading20"/>
      </w:pPr>
      <w:r>
        <w:t>Overview</w:t>
      </w:r>
    </w:p>
    <w:p w:rsidR="001A0F23" w:rsidRDefault="001A0F23" w:rsidP="00363DFA">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65E92" w:rsidRDefault="004B287A">
      <w:pPr>
        <w:pStyle w:val="BodyText1"/>
        <w:rPr>
          <w:szCs w:val="22"/>
        </w:rPr>
      </w:pPr>
      <w:r w:rsidRPr="004B287A">
        <w:rPr>
          <w:b/>
          <w:szCs w:val="22"/>
        </w:rPr>
        <w:t>Choice of Topic for Research Project</w:t>
      </w:r>
    </w:p>
    <w:p w:rsidR="002F252F" w:rsidRDefault="002F252F" w:rsidP="00F9264B">
      <w:pPr>
        <w:pStyle w:val="BodyText1"/>
      </w:pPr>
      <w:r>
        <w:t xml:space="preserve">More effective responses were elicited from student questions which were structured to begin with </w:t>
      </w:r>
      <w:r w:rsidR="000F7702">
        <w:t>‘</w:t>
      </w:r>
      <w:r w:rsidR="00DA5428">
        <w:t>w</w:t>
      </w:r>
      <w:r>
        <w:t>hy</w:t>
      </w:r>
      <w:r w:rsidR="000F7702">
        <w:t>’</w:t>
      </w:r>
      <w:r>
        <w:t xml:space="preserve"> or </w:t>
      </w:r>
      <w:r w:rsidR="000F7702">
        <w:t>‘</w:t>
      </w:r>
      <w:r w:rsidR="00DA5428">
        <w:t>h</w:t>
      </w:r>
      <w:r>
        <w:t>ow</w:t>
      </w:r>
      <w:r w:rsidR="000F7702">
        <w:t>’</w:t>
      </w:r>
      <w:r w:rsidR="00651987">
        <w:t>,</w:t>
      </w:r>
      <w:r>
        <w:t xml:space="preserve"> as this allowed students to consider more insightful research opportunities and prov</w:t>
      </w:r>
      <w:r w:rsidR="00DB4EFC">
        <w:t>ide a deeper level of analysis.</w:t>
      </w:r>
    </w:p>
    <w:p w:rsidR="002F252F" w:rsidRPr="005B0378" w:rsidRDefault="002F252F" w:rsidP="00F9264B">
      <w:pPr>
        <w:pStyle w:val="BodyText1"/>
      </w:pPr>
      <w:r>
        <w:t>Personally meaningful and relevant questions</w:t>
      </w:r>
      <w:r w:rsidR="000F7702">
        <w:t>,</w:t>
      </w:r>
      <w:r>
        <w:t xml:space="preserve"> such as those based on pers</w:t>
      </w:r>
      <w:bookmarkStart w:id="0" w:name="_GoBack"/>
      <w:bookmarkEnd w:id="0"/>
      <w:r>
        <w:t>onal interest or future career choice</w:t>
      </w:r>
      <w:r w:rsidR="000F7702">
        <w:t>,</w:t>
      </w:r>
      <w:r>
        <w:t xml:space="preserve"> </w:t>
      </w:r>
      <w:r w:rsidR="00520221">
        <w:t>enhanced student capacity for success</w:t>
      </w:r>
      <w:r w:rsidR="00DB4EFC">
        <w:t>.</w:t>
      </w:r>
    </w:p>
    <w:p w:rsidR="005B0378" w:rsidRDefault="005B0378" w:rsidP="00F9264B">
      <w:pPr>
        <w:pStyle w:val="BodyText1"/>
      </w:pPr>
      <w:r>
        <w:t>A wide variety of topic</w:t>
      </w:r>
      <w:r w:rsidR="00520221">
        <w:t>s were selected</w:t>
      </w:r>
      <w:r w:rsidR="00651987">
        <w:t>.</w:t>
      </w:r>
      <w:r w:rsidR="00520221">
        <w:t xml:space="preserve"> </w:t>
      </w:r>
      <w:r w:rsidR="00651987">
        <w:t>P</w:t>
      </w:r>
      <w:r w:rsidR="00520221">
        <w:t>opular choices includ</w:t>
      </w:r>
      <w:r w:rsidR="00651987">
        <w:t>ed</w:t>
      </w:r>
      <w:r w:rsidR="00520221">
        <w:t xml:space="preserve"> researching career paths, restoration of machinery, construction of prod</w:t>
      </w:r>
      <w:r w:rsidR="00DB4EFC">
        <w:t>ucts</w:t>
      </w:r>
      <w:r w:rsidR="000F7702">
        <w:t>,</w:t>
      </w:r>
      <w:r w:rsidR="00DB4EFC">
        <w:t xml:space="preserve"> and current social issues.</w:t>
      </w:r>
    </w:p>
    <w:p w:rsidR="005B0378" w:rsidRDefault="005B0378" w:rsidP="00F9264B">
      <w:pPr>
        <w:pStyle w:val="BodyText1"/>
      </w:pPr>
      <w:r>
        <w:t>Less effective questions included those that</w:t>
      </w:r>
      <w:r w:rsidR="000F7702">
        <w:t>:</w:t>
      </w:r>
    </w:p>
    <w:p w:rsidR="005B0378" w:rsidRDefault="00520221" w:rsidP="00DB4EFC">
      <w:pPr>
        <w:pStyle w:val="dotpoints"/>
      </w:pPr>
      <w:r>
        <w:t>were not refined, as t</w:t>
      </w:r>
      <w:r w:rsidR="002F252F">
        <w:t xml:space="preserve">his led to research </w:t>
      </w:r>
      <w:r w:rsidR="000F7702">
        <w:t xml:space="preserve">that </w:t>
      </w:r>
      <w:r w:rsidR="002F252F">
        <w:t xml:space="preserve">was superficial </w:t>
      </w:r>
      <w:r w:rsidR="000F7702">
        <w:t>because</w:t>
      </w:r>
      <w:r w:rsidR="002F252F">
        <w:t xml:space="preserve"> students were unable to engage in focused and meaningful research</w:t>
      </w:r>
    </w:p>
    <w:p w:rsidR="005B0378" w:rsidRDefault="005B0378" w:rsidP="00DB4EFC">
      <w:pPr>
        <w:pStyle w:val="dotpoints"/>
      </w:pPr>
      <w:r>
        <w:t>were too simplistic or easy to answer</w:t>
      </w:r>
      <w:r w:rsidR="000F7702">
        <w:t>;</w:t>
      </w:r>
      <w:r>
        <w:t xml:space="preserve"> </w:t>
      </w:r>
      <w:r w:rsidR="009D1B3C">
        <w:t xml:space="preserve">for example, leading to a yes or no </w:t>
      </w:r>
      <w:r>
        <w:t>answer</w:t>
      </w:r>
    </w:p>
    <w:p w:rsidR="002F252F" w:rsidRDefault="005B0378" w:rsidP="00DB4EFC">
      <w:pPr>
        <w:pStyle w:val="dotpoints"/>
      </w:pPr>
      <w:proofErr w:type="gramStart"/>
      <w:r>
        <w:t>use</w:t>
      </w:r>
      <w:r w:rsidR="002F252F">
        <w:t>d</w:t>
      </w:r>
      <w:proofErr w:type="gramEnd"/>
      <w:r>
        <w:t xml:space="preserve"> topic statements instead of questions</w:t>
      </w:r>
      <w:r w:rsidR="00520221">
        <w:t>,</w:t>
      </w:r>
      <w:r w:rsidR="00B84676">
        <w:t xml:space="preserve"> as this limited the sophistication and synthesis of ideas</w:t>
      </w:r>
      <w:r w:rsidR="00520221">
        <w:t>.</w:t>
      </w:r>
    </w:p>
    <w:p w:rsidR="00520221" w:rsidRPr="00520221" w:rsidRDefault="00DB4EFC" w:rsidP="00DB4EFC">
      <w:pPr>
        <w:pStyle w:val="Heading20"/>
      </w:pPr>
      <w:r w:rsidRPr="00520221">
        <w:t>School Assessment</w:t>
      </w:r>
    </w:p>
    <w:p w:rsidR="001A0F23" w:rsidRDefault="001A0F23" w:rsidP="00363DFA">
      <w:pPr>
        <w:pStyle w:val="AssessmentTypeHeading"/>
      </w:pPr>
      <w:r w:rsidRPr="00CD32DE">
        <w:t xml:space="preserve">Assessment Type 1: </w:t>
      </w:r>
      <w:r w:rsidR="005B0378">
        <w:t>Folio</w:t>
      </w:r>
    </w:p>
    <w:p w:rsidR="006B3EF2" w:rsidRDefault="009D1B3C" w:rsidP="00F9264B">
      <w:pPr>
        <w:pStyle w:val="BodyText1"/>
      </w:pPr>
      <w:r>
        <w:t xml:space="preserve">The following </w:t>
      </w:r>
      <w:r w:rsidR="00DA2CD4">
        <w:t>focusses on</w:t>
      </w:r>
      <w:r>
        <w:t xml:space="preserve"> how</w:t>
      </w:r>
      <w:r w:rsidR="00886B27">
        <w:t xml:space="preserve"> students provided evidence of their learning in relation to the specific features of the assessment design criteria listed in the subject outline for this assessment type.</w:t>
      </w:r>
    </w:p>
    <w:p w:rsidR="00520221" w:rsidRPr="00DB4EFC" w:rsidRDefault="005B0378" w:rsidP="00F9264B">
      <w:pPr>
        <w:pStyle w:val="Italicsheading"/>
      </w:pPr>
      <w:r w:rsidRPr="00DB4EFC">
        <w:t>Planning (P1)</w:t>
      </w:r>
    </w:p>
    <w:p w:rsidR="005B0378" w:rsidRPr="00DB4EFC" w:rsidRDefault="002162AB" w:rsidP="00F9264B">
      <w:pPr>
        <w:pStyle w:val="BodyText1"/>
      </w:pPr>
      <w:r w:rsidRPr="000C2E4E">
        <w:t xml:space="preserve">While </w:t>
      </w:r>
      <w:r w:rsidR="00520221">
        <w:t>a majority of</w:t>
      </w:r>
      <w:r w:rsidRPr="000C2E4E">
        <w:t xml:space="preserve"> students included</w:t>
      </w:r>
      <w:r w:rsidR="00520221">
        <w:t xml:space="preserve"> their</w:t>
      </w:r>
      <w:r w:rsidRPr="000C2E4E">
        <w:t xml:space="preserve"> proposal as evidence of planning</w:t>
      </w:r>
      <w:r w:rsidR="00520221">
        <w:t xml:space="preserve"> and refinement</w:t>
      </w:r>
      <w:r w:rsidRPr="000C2E4E">
        <w:t xml:space="preserve">, students benefited when they included examples of </w:t>
      </w:r>
      <w:r w:rsidR="00520221">
        <w:t xml:space="preserve">other </w:t>
      </w:r>
      <w:r w:rsidRPr="000C2E4E">
        <w:t>planning exercises</w:t>
      </w:r>
      <w:r w:rsidR="00DA5428">
        <w:t>,</w:t>
      </w:r>
      <w:r w:rsidR="00520221">
        <w:t xml:space="preserve"> such as mind</w:t>
      </w:r>
      <w:r w:rsidR="00DA5428">
        <w:t xml:space="preserve"> </w:t>
      </w:r>
      <w:r w:rsidR="00520221">
        <w:t>maps, charts</w:t>
      </w:r>
      <w:r w:rsidR="009D1B3C">
        <w:t>,</w:t>
      </w:r>
      <w:r w:rsidR="00520221">
        <w:t xml:space="preserve"> and diagrams</w:t>
      </w:r>
      <w:r w:rsidRPr="000C2E4E">
        <w:t xml:space="preserve"> that indicated a deve</w:t>
      </w:r>
      <w:r w:rsidR="00DB4EFC">
        <w:t>lopment of ideas and processes.</w:t>
      </w:r>
    </w:p>
    <w:p w:rsidR="000C2E4E" w:rsidRPr="00DB4EFC" w:rsidRDefault="002162AB" w:rsidP="00F9264B">
      <w:pPr>
        <w:pStyle w:val="BodyText1"/>
      </w:pPr>
      <w:r w:rsidRPr="000C2E4E">
        <w:t xml:space="preserve">Moderators noted that </w:t>
      </w:r>
      <w:r w:rsidR="00520221">
        <w:t>these planning exercises</w:t>
      </w:r>
      <w:r w:rsidRPr="000C2E4E">
        <w:t xml:space="preserve"> </w:t>
      </w:r>
      <w:r w:rsidR="009D1B3C">
        <w:t>(e.g.</w:t>
      </w:r>
      <w:r w:rsidRPr="000C2E4E">
        <w:t xml:space="preserve"> lotus diagrams</w:t>
      </w:r>
      <w:r w:rsidR="009D1B3C">
        <w:t>)</w:t>
      </w:r>
      <w:r w:rsidRPr="000C2E4E">
        <w:t xml:space="preserve"> were most useful when they were annotated or included accompanying notes or discussion about the planning processes. A variety of planning tools were used </w:t>
      </w:r>
      <w:r w:rsidR="00520221">
        <w:t>and</w:t>
      </w:r>
      <w:r w:rsidR="009D1B3C">
        <w:t>,</w:t>
      </w:r>
      <w:r w:rsidR="00520221">
        <w:t xml:space="preserve"> while scaffoldin</w:t>
      </w:r>
      <w:r w:rsidR="00C17EDA">
        <w:t>g of these tasks was evident, they</w:t>
      </w:r>
      <w:r w:rsidR="00520221">
        <w:t xml:space="preserve"> allowed students to show the progress in </w:t>
      </w:r>
      <w:r w:rsidR="00520221">
        <w:lastRenderedPageBreak/>
        <w:t xml:space="preserve">their thinking. </w:t>
      </w:r>
      <w:r w:rsidRPr="000C2E4E">
        <w:t>The best student responses used these</w:t>
      </w:r>
      <w:r w:rsidR="00520221">
        <w:t xml:space="preserve"> exercises</w:t>
      </w:r>
      <w:r w:rsidRPr="000C2E4E">
        <w:t xml:space="preserve"> to show a development in thinking </w:t>
      </w:r>
      <w:r w:rsidRPr="00DB4EFC">
        <w:t>and consideration of a range of aspects</w:t>
      </w:r>
      <w:r w:rsidR="009D1B3C">
        <w:t>,</w:t>
      </w:r>
      <w:r w:rsidR="00520221" w:rsidRPr="00DB4EFC">
        <w:t xml:space="preserve"> as well as a justification for the refinements occurring</w:t>
      </w:r>
      <w:r w:rsidR="00DB4EFC" w:rsidRPr="00DB4EFC">
        <w:t>.</w:t>
      </w:r>
    </w:p>
    <w:p w:rsidR="000C2E4E" w:rsidRPr="00DB4EFC" w:rsidRDefault="00520221" w:rsidP="00F9264B">
      <w:pPr>
        <w:pStyle w:val="BodyText1"/>
      </w:pPr>
      <w:r w:rsidRPr="00DB4EFC">
        <w:t>Clear d</w:t>
      </w:r>
      <w:r w:rsidR="000C2E4E" w:rsidRPr="00DB4EFC">
        <w:t xml:space="preserve">ocumentation of refinement occurred most frequently through </w:t>
      </w:r>
      <w:r w:rsidRPr="00DB4EFC">
        <w:t xml:space="preserve">short </w:t>
      </w:r>
      <w:r w:rsidR="000C2E4E" w:rsidRPr="00DB4EFC">
        <w:t>reflection</w:t>
      </w:r>
      <w:r w:rsidRPr="00DB4EFC">
        <w:t>s which were generally located</w:t>
      </w:r>
      <w:r w:rsidR="000C2E4E" w:rsidRPr="00DB4EFC">
        <w:t xml:space="preserve"> in the proposal. Additional evidence that showed a proc</w:t>
      </w:r>
      <w:r w:rsidR="00B84676" w:rsidRPr="00DB4EFC">
        <w:t>ess of development, such as planning mechanisms or journals, assisted</w:t>
      </w:r>
      <w:r w:rsidR="000C2E4E" w:rsidRPr="00DB4EFC">
        <w:t xml:space="preserve"> in providing a </w:t>
      </w:r>
      <w:r w:rsidR="009D1B3C">
        <w:t>‘</w:t>
      </w:r>
      <w:r w:rsidR="000C2E4E" w:rsidRPr="00DB4EFC">
        <w:t>thorough</w:t>
      </w:r>
      <w:r w:rsidR="009D1B3C">
        <w:t>’</w:t>
      </w:r>
      <w:r w:rsidR="000C2E4E" w:rsidRPr="00DB4EFC">
        <w:t xml:space="preserve"> refinement of the research</w:t>
      </w:r>
      <w:r w:rsidR="00DB4EFC" w:rsidRPr="00DB4EFC">
        <w:t>.</w:t>
      </w:r>
    </w:p>
    <w:p w:rsidR="005B0378" w:rsidRPr="00DB4EFC" w:rsidRDefault="005B0378" w:rsidP="00F9264B">
      <w:pPr>
        <w:pStyle w:val="Italicsheading"/>
      </w:pPr>
      <w:r w:rsidRPr="00DB4EFC">
        <w:t>Planning (P2)</w:t>
      </w:r>
    </w:p>
    <w:p w:rsidR="000C2E4E" w:rsidRPr="00DB4EFC" w:rsidRDefault="000C2E4E" w:rsidP="00F9264B">
      <w:pPr>
        <w:pStyle w:val="BodyText1"/>
      </w:pPr>
      <w:r w:rsidRPr="00DB4EFC">
        <w:t xml:space="preserve">Stronger student responses documented </w:t>
      </w:r>
      <w:r w:rsidR="00B84676" w:rsidRPr="00DB4EFC">
        <w:t>‘</w:t>
      </w:r>
      <w:r w:rsidRPr="00DB4EFC">
        <w:t>thorough</w:t>
      </w:r>
      <w:r w:rsidR="00B84676" w:rsidRPr="00DB4EFC">
        <w:t>’</w:t>
      </w:r>
      <w:r w:rsidRPr="00DB4EFC">
        <w:t xml:space="preserve"> planning through the inclusion of processes that were specific to the research question. Students who justified their intentions </w:t>
      </w:r>
      <w:r w:rsidR="00B84676" w:rsidRPr="00DB4EFC">
        <w:t xml:space="preserve">clearly and in a detailed way were able to show more </w:t>
      </w:r>
      <w:r w:rsidRPr="00DB4EFC">
        <w:t>detailed development of their planned processes.</w:t>
      </w:r>
    </w:p>
    <w:p w:rsidR="000C2E4E" w:rsidRPr="00DB4EFC" w:rsidRDefault="000C2E4E" w:rsidP="00F9264B">
      <w:pPr>
        <w:pStyle w:val="BodyText1"/>
      </w:pPr>
      <w:r w:rsidRPr="00DB4EFC">
        <w:t>When planning for research, stronger student responses were those that extended beyond the use of basic diagrams and checklists. More thorough evidence of planning was shown in the commentary of planning</w:t>
      </w:r>
      <w:r w:rsidR="00520221" w:rsidRPr="00DB4EFC">
        <w:t>,</w:t>
      </w:r>
      <w:r w:rsidRPr="00DB4EFC">
        <w:t xml:space="preserve"> particularly the assessment of </w:t>
      </w:r>
      <w:r w:rsidR="00520221" w:rsidRPr="00DB4EFC">
        <w:t>‘</w:t>
      </w:r>
      <w:r w:rsidRPr="00DB4EFC">
        <w:t>why</w:t>
      </w:r>
      <w:r w:rsidR="00520221" w:rsidRPr="00DB4EFC">
        <w:t>’</w:t>
      </w:r>
      <w:r w:rsidRPr="00DB4EFC">
        <w:t xml:space="preserve"> and </w:t>
      </w:r>
      <w:r w:rsidR="00520221" w:rsidRPr="00DB4EFC">
        <w:t>‘</w:t>
      </w:r>
      <w:r w:rsidRPr="00DB4EFC">
        <w:t>how</w:t>
      </w:r>
      <w:r w:rsidR="00520221" w:rsidRPr="00DB4EFC">
        <w:t>’</w:t>
      </w:r>
      <w:r w:rsidRPr="00DB4EFC">
        <w:t xml:space="preserve"> primar</w:t>
      </w:r>
      <w:r w:rsidR="00DB4EFC" w:rsidRPr="00DB4EFC">
        <w:t>y research would be undertaken.</w:t>
      </w:r>
    </w:p>
    <w:p w:rsidR="00544E05" w:rsidRPr="00DB4EFC" w:rsidRDefault="00544E05" w:rsidP="00F9264B">
      <w:pPr>
        <w:pStyle w:val="BodyText1"/>
      </w:pPr>
      <w:r w:rsidRPr="00DB4EFC">
        <w:t>Weaker evidence was found in folios that relied heavily on checklists, timelines</w:t>
      </w:r>
      <w:r w:rsidR="001F0876">
        <w:t>,</w:t>
      </w:r>
      <w:r w:rsidRPr="00DB4EFC">
        <w:t xml:space="preserve"> or to</w:t>
      </w:r>
      <w:r w:rsidR="00DA5428">
        <w:noBreakHyphen/>
      </w:r>
      <w:r w:rsidRPr="00DB4EFC">
        <w:t>do lists that were briefly detailed or superficial. Limited responses were also found in folios that provided a broad outline of the intended research processes without consideration of their applicability to the research question.</w:t>
      </w:r>
    </w:p>
    <w:p w:rsidR="00B84676" w:rsidRPr="00DB4EFC" w:rsidRDefault="00B84676" w:rsidP="00F9264B">
      <w:pPr>
        <w:pStyle w:val="BodyText1"/>
      </w:pPr>
      <w:r w:rsidRPr="00DB4EFC">
        <w:t xml:space="preserve">Planning </w:t>
      </w:r>
      <w:r w:rsidR="00C17EDA" w:rsidRPr="00C17EDA">
        <w:t xml:space="preserve">in stronger responses </w:t>
      </w:r>
      <w:r w:rsidRPr="00DB4EFC">
        <w:t>was also seen throughout the folio with new plans made in response to developments or challenges</w:t>
      </w:r>
      <w:r w:rsidR="00520221" w:rsidRPr="00DB4EFC">
        <w:t xml:space="preserve"> as the folio progressed</w:t>
      </w:r>
      <w:r w:rsidRPr="00DB4EFC">
        <w:t>. This enabled students to show a more thorough understanding of planning.</w:t>
      </w:r>
      <w:r w:rsidR="00520221" w:rsidRPr="00DB4EFC">
        <w:t xml:space="preserve"> Clear evidence of planning for each research process that occurred </w:t>
      </w:r>
      <w:r w:rsidR="001F0876">
        <w:t>(e.g.</w:t>
      </w:r>
      <w:r w:rsidR="00520221" w:rsidRPr="00DB4EFC">
        <w:t xml:space="preserve"> experiments, action research, interviews</w:t>
      </w:r>
      <w:r w:rsidR="001F0876">
        <w:t>)</w:t>
      </w:r>
      <w:r w:rsidR="00520221" w:rsidRPr="00DB4EFC">
        <w:t xml:space="preserve"> also enabled students to show their continued planning throughout the research development.</w:t>
      </w:r>
    </w:p>
    <w:p w:rsidR="000C2E4E" w:rsidRPr="00DB4EFC" w:rsidRDefault="000C2E4E" w:rsidP="00F9264B">
      <w:pPr>
        <w:pStyle w:val="Italicsheading"/>
      </w:pPr>
      <w:r w:rsidRPr="00DB4EFC">
        <w:t>Development (D1)</w:t>
      </w:r>
    </w:p>
    <w:p w:rsidR="00B84676" w:rsidRPr="00DB4EFC" w:rsidRDefault="00544E05" w:rsidP="00F9264B">
      <w:pPr>
        <w:pStyle w:val="BodyText1"/>
      </w:pPr>
      <w:r w:rsidRPr="00544E05">
        <w:t xml:space="preserve">Resourcefulness in research </w:t>
      </w:r>
      <w:r>
        <w:t xml:space="preserve">was </w:t>
      </w:r>
      <w:r w:rsidR="009F3144">
        <w:t>demonstrated by the range of research processes undertaken by students</w:t>
      </w:r>
      <w:r w:rsidR="00520221">
        <w:t>. Stronger evidence was shown by students</w:t>
      </w:r>
      <w:r w:rsidR="00B84676">
        <w:t xml:space="preserve"> who engaged in multiple</w:t>
      </w:r>
      <w:r w:rsidR="00520221">
        <w:t xml:space="preserve"> research processes and who recognised the applicability of their </w:t>
      </w:r>
      <w:r w:rsidR="00B84676">
        <w:t>activities</w:t>
      </w:r>
      <w:r w:rsidR="00520221">
        <w:t xml:space="preserve"> to their research question</w:t>
      </w:r>
      <w:r w:rsidR="009F3144">
        <w:t>.</w:t>
      </w:r>
    </w:p>
    <w:p w:rsidR="000C2E4E" w:rsidRPr="00DB4EFC" w:rsidRDefault="009F3144" w:rsidP="00F9264B">
      <w:pPr>
        <w:pStyle w:val="BodyText1"/>
      </w:pPr>
      <w:r>
        <w:t>A heavy reliance on secondary research did limit some students</w:t>
      </w:r>
      <w:r w:rsidR="001F0876">
        <w:t>,</w:t>
      </w:r>
      <w:r w:rsidR="00B84676">
        <w:t xml:space="preserve"> as</w:t>
      </w:r>
      <w:r w:rsidR="00C17EDA">
        <w:t xml:space="preserve"> they were not able to show the</w:t>
      </w:r>
      <w:r w:rsidR="00B84676">
        <w:t xml:space="preserve"> </w:t>
      </w:r>
      <w:r w:rsidR="00C17EDA">
        <w:t xml:space="preserve">additional depth and development in their resourcefulness that could be shown by </w:t>
      </w:r>
      <w:r>
        <w:t xml:space="preserve">those </w:t>
      </w:r>
      <w:r w:rsidR="00520221">
        <w:t xml:space="preserve">students </w:t>
      </w:r>
      <w:r>
        <w:t>who undertook relevant and appropriate prim</w:t>
      </w:r>
      <w:r w:rsidR="00C17EDA">
        <w:t>ary processes.</w:t>
      </w:r>
    </w:p>
    <w:p w:rsidR="009F3144" w:rsidRPr="00DB4EFC" w:rsidRDefault="00B84676" w:rsidP="00F9264B">
      <w:pPr>
        <w:pStyle w:val="BodyText1"/>
      </w:pPr>
      <w:r>
        <w:t>M</w:t>
      </w:r>
      <w:r w:rsidR="009F3144">
        <w:t>ore effective evidence was demonstrated by</w:t>
      </w:r>
      <w:r w:rsidR="009D1B3C">
        <w:t>:</w:t>
      </w:r>
    </w:p>
    <w:p w:rsidR="009F3144" w:rsidRPr="00DB4EFC" w:rsidRDefault="009F3144" w:rsidP="00DB4EFC">
      <w:pPr>
        <w:pStyle w:val="dotpoints"/>
      </w:pPr>
      <w:r>
        <w:t>a variety of rese</w:t>
      </w:r>
      <w:r w:rsidR="00B84676">
        <w:t>arch processes being undertaken</w:t>
      </w:r>
      <w:r w:rsidR="00520221">
        <w:t xml:space="preserve"> that were applicable to the research question and included evidence from</w:t>
      </w:r>
      <w:r w:rsidR="00B84676">
        <w:t xml:space="preserve"> both primary and secondary </w:t>
      </w:r>
      <w:r w:rsidR="00520221">
        <w:t xml:space="preserve">sources </w:t>
      </w:r>
      <w:r w:rsidR="00B84676">
        <w:t>(where appropriate)</w:t>
      </w:r>
    </w:p>
    <w:p w:rsidR="009F3144" w:rsidRPr="00DB4EFC" w:rsidRDefault="009F3144" w:rsidP="00DB4EFC">
      <w:pPr>
        <w:pStyle w:val="dotpoints"/>
      </w:pPr>
      <w:r>
        <w:t>a range of sources being selected</w:t>
      </w:r>
      <w:r w:rsidR="00520221">
        <w:t xml:space="preserve"> through different research processes</w:t>
      </w:r>
      <w:r>
        <w:t>, as appropriate</w:t>
      </w:r>
      <w:r w:rsidR="00B84676">
        <w:t xml:space="preserve"> and relevant to the research question</w:t>
      </w:r>
    </w:p>
    <w:p w:rsidR="009F3144" w:rsidRPr="00DB4EFC" w:rsidRDefault="009F3144" w:rsidP="00DB4EFC">
      <w:pPr>
        <w:pStyle w:val="dotpoints"/>
      </w:pPr>
      <w:r>
        <w:t>use of networking</w:t>
      </w:r>
      <w:r w:rsidR="00B84676">
        <w:t xml:space="preserve"> and initiative</w:t>
      </w:r>
      <w:r>
        <w:t xml:space="preserve"> to find relevant and useful contacts</w:t>
      </w:r>
    </w:p>
    <w:p w:rsidR="00520221" w:rsidRPr="00DB4EFC" w:rsidRDefault="00520221" w:rsidP="00DB4EFC">
      <w:pPr>
        <w:pStyle w:val="dotpoints"/>
      </w:pPr>
      <w:proofErr w:type="gramStart"/>
      <w:r>
        <w:t>understanding</w:t>
      </w:r>
      <w:proofErr w:type="gramEnd"/>
      <w:r>
        <w:t xml:space="preserve"> of different types of research</w:t>
      </w:r>
      <w:r w:rsidR="001F0876">
        <w:t>;</w:t>
      </w:r>
      <w:r>
        <w:t xml:space="preserve"> </w:t>
      </w:r>
      <w:r w:rsidR="001F0876">
        <w:t>for example,</w:t>
      </w:r>
      <w:r>
        <w:t xml:space="preserve"> background, development, cross</w:t>
      </w:r>
      <w:r w:rsidR="001F0876">
        <w:t>-</w:t>
      </w:r>
      <w:r>
        <w:t>checking.</w:t>
      </w:r>
    </w:p>
    <w:p w:rsidR="009F3144" w:rsidRPr="00DB4EFC" w:rsidRDefault="00B84676" w:rsidP="00F9264B">
      <w:pPr>
        <w:pStyle w:val="BodyText1"/>
      </w:pPr>
      <w:r>
        <w:lastRenderedPageBreak/>
        <w:t>S</w:t>
      </w:r>
      <w:r w:rsidR="009F3144">
        <w:t>tronger folios demonstrated resourcefulness through the integration of interviews, surveys, experimen</w:t>
      </w:r>
      <w:r w:rsidR="00520221">
        <w:t>ts, action research</w:t>
      </w:r>
      <w:r w:rsidR="001F0876">
        <w:t>, and so on</w:t>
      </w:r>
      <w:r w:rsidR="00520221">
        <w:t xml:space="preserve"> in a purposeful manner</w:t>
      </w:r>
      <w:r w:rsidR="009F3144">
        <w:t>.</w:t>
      </w:r>
      <w:r w:rsidR="00DB4EFC">
        <w:t xml:space="preserve"> </w:t>
      </w:r>
      <w:r w:rsidR="009F3144">
        <w:t xml:space="preserve">Students who undertook </w:t>
      </w:r>
      <w:r w:rsidR="00520221">
        <w:t xml:space="preserve">these </w:t>
      </w:r>
      <w:r w:rsidR="009F3144">
        <w:t>specific research processes</w:t>
      </w:r>
      <w:r w:rsidR="001F0876">
        <w:t>,</w:t>
      </w:r>
      <w:r w:rsidR="009F3144">
        <w:t xml:space="preserve"> </w:t>
      </w:r>
      <w:r w:rsidR="001F0876">
        <w:t>for example,</w:t>
      </w:r>
      <w:r w:rsidR="009F3144">
        <w:t xml:space="preserve"> experimentation of different methods for joining wood, were able to demonstrate a higher level of achievement.</w:t>
      </w:r>
      <w:r w:rsidR="00520221">
        <w:t xml:space="preserve"> Within this, sample groups and participants who</w:t>
      </w:r>
      <w:r>
        <w:t xml:space="preserve"> were selecte</w:t>
      </w:r>
      <w:r w:rsidR="00520221">
        <w:t>d for relevance and expertise</w:t>
      </w:r>
      <w:r>
        <w:t xml:space="preserve"> enhance</w:t>
      </w:r>
      <w:r w:rsidR="00520221">
        <w:t>d</w:t>
      </w:r>
      <w:r>
        <w:t xml:space="preserve"> the quality of the process.</w:t>
      </w:r>
      <w:r w:rsidR="009F3144">
        <w:t xml:space="preserve"> </w:t>
      </w:r>
      <w:r w:rsidR="00520221">
        <w:t>More successful</w:t>
      </w:r>
      <w:r w:rsidR="009F3144">
        <w:t xml:space="preserve"> examples </w:t>
      </w:r>
      <w:r>
        <w:t>of primary research used interaction with experts or those personally involved in the research area</w:t>
      </w:r>
      <w:r w:rsidR="009F3144">
        <w:t xml:space="preserve"> to confirm or clarify previously gathered information, to test theories and ideas, or </w:t>
      </w:r>
      <w:r w:rsidR="001F0876">
        <w:t xml:space="preserve">to </w:t>
      </w:r>
      <w:r w:rsidR="009F3144">
        <w:t>ask for specific questions that b</w:t>
      </w:r>
      <w:r w:rsidR="00DB4EFC" w:rsidRPr="00DB4EFC">
        <w:t>uilt on concerns or challenges.</w:t>
      </w:r>
    </w:p>
    <w:p w:rsidR="00CE6C9C" w:rsidRPr="00DB4EFC" w:rsidRDefault="00CE6C9C" w:rsidP="00F9264B">
      <w:pPr>
        <w:pStyle w:val="Italicsheading"/>
      </w:pPr>
      <w:r w:rsidRPr="00DB4EFC">
        <w:t>Development (D2)</w:t>
      </w:r>
    </w:p>
    <w:p w:rsidR="00FD6E30" w:rsidRPr="00DB4EFC" w:rsidRDefault="00C17EDA" w:rsidP="00F9264B">
      <w:pPr>
        <w:pStyle w:val="BodyText1"/>
      </w:pPr>
      <w:r>
        <w:t xml:space="preserve">Analysis was deemed to be </w:t>
      </w:r>
      <w:r w:rsidR="00441ED8">
        <w:t>‘</w:t>
      </w:r>
      <w:r w:rsidRPr="00441ED8">
        <w:rPr>
          <w:iCs/>
        </w:rPr>
        <w:t>in-</w:t>
      </w:r>
      <w:r w:rsidR="00FD6E30" w:rsidRPr="00441ED8">
        <w:rPr>
          <w:iCs/>
        </w:rPr>
        <w:t>depth</w:t>
      </w:r>
      <w:r w:rsidR="00441ED8">
        <w:rPr>
          <w:iCs/>
        </w:rPr>
        <w:t>’</w:t>
      </w:r>
      <w:r w:rsidR="00FD6E30" w:rsidRPr="00FD6E30">
        <w:t xml:space="preserve"> when it consisted of a variety of perspectives, qualified key findings</w:t>
      </w:r>
      <w:r w:rsidR="001F0876">
        <w:t>,</w:t>
      </w:r>
      <w:r w:rsidR="00FD6E30" w:rsidRPr="00FD6E30">
        <w:t xml:space="preserve"> and explored a range of ideas that were pertinent to the research q</w:t>
      </w:r>
      <w:r w:rsidR="00DB4EFC">
        <w:t>uestion itself.</w:t>
      </w:r>
    </w:p>
    <w:p w:rsidR="00B84676" w:rsidRPr="00DB4EFC" w:rsidRDefault="00B84676" w:rsidP="00F9264B">
      <w:pPr>
        <w:pStyle w:val="BodyText1"/>
      </w:pPr>
      <w:r>
        <w:t xml:space="preserve">Considered </w:t>
      </w:r>
      <w:r w:rsidR="00CE6C9C">
        <w:t xml:space="preserve">evidence of the performance standards was shown in folios that included examples of research that </w:t>
      </w:r>
      <w:r>
        <w:t>were commented on and annotated</w:t>
      </w:r>
      <w:r w:rsidR="00520221">
        <w:t xml:space="preserve"> with some complexity</w:t>
      </w:r>
      <w:r>
        <w:t>. Those folios that only included evidence of highlighting sources with minimal engagement with the source were deemed to be ‘satis</w:t>
      </w:r>
      <w:r w:rsidR="00DB4EFC">
        <w:t>factory’ or ‘basic’ in quality.</w:t>
      </w:r>
    </w:p>
    <w:p w:rsidR="00CE6C9C" w:rsidRPr="00DB4EFC" w:rsidRDefault="00B84676" w:rsidP="00F9264B">
      <w:pPr>
        <w:pStyle w:val="BodyText1"/>
      </w:pPr>
      <w:r>
        <w:t>‘</w:t>
      </w:r>
      <w:r w:rsidR="00CE6C9C">
        <w:t>Thorough</w:t>
      </w:r>
      <w:r>
        <w:t>’</w:t>
      </w:r>
      <w:r w:rsidR="00CE6C9C">
        <w:t xml:space="preserve"> examples of analysis were achieved by those students who extracted key findings, commented on usefulness and limitations</w:t>
      </w:r>
      <w:r w:rsidR="001F0876">
        <w:t>,</w:t>
      </w:r>
      <w:r w:rsidR="00CE6C9C">
        <w:t xml:space="preserve"> and structured responses to the evidence using subheadings</w:t>
      </w:r>
      <w:r w:rsidR="00520221">
        <w:t xml:space="preserve"> that guided reflection</w:t>
      </w:r>
      <w:r w:rsidR="00CE6C9C">
        <w:t>.</w:t>
      </w:r>
      <w:r w:rsidR="00520221">
        <w:t xml:space="preserve"> Successful </w:t>
      </w:r>
      <w:r w:rsidR="00DA5428">
        <w:t>sub</w:t>
      </w:r>
      <w:r w:rsidR="00520221">
        <w:t>headings included those that guided the student to think critically about the source’s purpose, audience</w:t>
      </w:r>
      <w:r w:rsidR="001F0876">
        <w:t>,</w:t>
      </w:r>
      <w:r w:rsidR="00520221">
        <w:t xml:space="preserve"> and context</w:t>
      </w:r>
      <w:r w:rsidR="001F0876">
        <w:t>,</w:t>
      </w:r>
      <w:r w:rsidR="00520221">
        <w:t xml:space="preserve"> or those that allowed students to analyse the findings of the information provided.</w:t>
      </w:r>
    </w:p>
    <w:p w:rsidR="00CE6C9C" w:rsidRPr="00DB4EFC" w:rsidRDefault="00CE6C9C" w:rsidP="00F9264B">
      <w:pPr>
        <w:pStyle w:val="BodyText1"/>
      </w:pPr>
      <w:r>
        <w:t xml:space="preserve">Judgments made about the complexity of sources and analysis of source features </w:t>
      </w:r>
      <w:r w:rsidR="001F0876">
        <w:t>(</w:t>
      </w:r>
      <w:r>
        <w:t>validity, bias</w:t>
      </w:r>
      <w:r w:rsidR="001F0876">
        <w:t>,</w:t>
      </w:r>
      <w:r>
        <w:t xml:space="preserve"> etc.</w:t>
      </w:r>
      <w:r w:rsidR="001F0876">
        <w:t>),</w:t>
      </w:r>
      <w:r>
        <w:t xml:space="preserve"> as well as the information presented </w:t>
      </w:r>
      <w:r w:rsidR="001F0876">
        <w:t>(</w:t>
      </w:r>
      <w:r>
        <w:t>use</w:t>
      </w:r>
      <w:r w:rsidR="001F0876">
        <w:t xml:space="preserve">, </w:t>
      </w:r>
      <w:r>
        <w:t>limits</w:t>
      </w:r>
      <w:r w:rsidR="001F0876">
        <w:t>,</w:t>
      </w:r>
      <w:r>
        <w:t xml:space="preserve"> new findin</w:t>
      </w:r>
      <w:r w:rsidR="00520221">
        <w:t>gs</w:t>
      </w:r>
      <w:r w:rsidR="001F0876">
        <w:t>, etc</w:t>
      </w:r>
      <w:r w:rsidR="00DA5428">
        <w:t>.</w:t>
      </w:r>
      <w:r w:rsidR="001F0876">
        <w:t>)</w:t>
      </w:r>
      <w:r w:rsidR="00520221">
        <w:t>, allowed for a higher level of</w:t>
      </w:r>
      <w:r w:rsidR="00B84676">
        <w:t xml:space="preserve"> </w:t>
      </w:r>
      <w:r>
        <w:t>achievement.</w:t>
      </w:r>
      <w:r w:rsidR="00520221">
        <w:t xml:space="preserve"> Particularly successful evidence of ‘insightful’ analysis drew conclusions from </w:t>
      </w:r>
      <w:r w:rsidR="00C17EDA">
        <w:t xml:space="preserve">collation of </w:t>
      </w:r>
      <w:r w:rsidR="00520221">
        <w:t>primary evidence and recognised limitations as well as strengths of a</w:t>
      </w:r>
      <w:r w:rsidR="00DB4EFC">
        <w:t xml:space="preserve"> variety of research processes.</w:t>
      </w:r>
    </w:p>
    <w:p w:rsidR="00770324" w:rsidRPr="00DB4EFC" w:rsidRDefault="00B84676" w:rsidP="00F9264B">
      <w:pPr>
        <w:pStyle w:val="BodyText1"/>
      </w:pPr>
      <w:r>
        <w:t xml:space="preserve">Thorough </w:t>
      </w:r>
      <w:r w:rsidR="00CE6C9C">
        <w:t>analysis</w:t>
      </w:r>
      <w:r>
        <w:t xml:space="preserve"> was </w:t>
      </w:r>
      <w:r w:rsidR="00520221">
        <w:t>more likely to be evidenced</w:t>
      </w:r>
      <w:r>
        <w:t xml:space="preserve"> when students</w:t>
      </w:r>
      <w:r w:rsidR="00CE6C9C">
        <w:t xml:space="preserve"> collated key findings into tables and assessed them for use</w:t>
      </w:r>
      <w:r w:rsidR="00520221">
        <w:t>. Useful evidence also was shown when students</w:t>
      </w:r>
      <w:r w:rsidR="00CE6C9C">
        <w:t xml:space="preserve"> </w:t>
      </w:r>
      <w:r w:rsidR="00520221">
        <w:t>engaged in activities such as comparing sources and key findings for similarities and di</w:t>
      </w:r>
      <w:r w:rsidR="00CE6C9C">
        <w:t>fferences</w:t>
      </w:r>
      <w:r w:rsidR="00CE0053">
        <w:t>,</w:t>
      </w:r>
      <w:r w:rsidR="00520221">
        <w:t xml:space="preserve"> and reflecting on how this </w:t>
      </w:r>
      <w:r w:rsidR="00CE0053">
        <w:t>affected</w:t>
      </w:r>
      <w:r w:rsidR="00520221">
        <w:t xml:space="preserve"> their research</w:t>
      </w:r>
      <w:r w:rsidR="00CE6C9C">
        <w:t xml:space="preserve">. </w:t>
      </w:r>
      <w:r>
        <w:t>Thorough responses were those where s</w:t>
      </w:r>
      <w:r w:rsidR="00CE6C9C">
        <w:t>ource suitability was taken into account and potential issues with sources</w:t>
      </w:r>
      <w:r w:rsidR="00CE0053">
        <w:t xml:space="preserve"> (</w:t>
      </w:r>
      <w:r w:rsidR="00C17EDA">
        <w:t>e.g</w:t>
      </w:r>
      <w:r w:rsidR="00CE6C9C">
        <w:t>. bias</w:t>
      </w:r>
      <w:r w:rsidR="00CE0053">
        <w:t>)</w:t>
      </w:r>
      <w:r w:rsidR="00CE6C9C">
        <w:t xml:space="preserve"> were used </w:t>
      </w:r>
      <w:r w:rsidR="00520221">
        <w:t xml:space="preserve">to enhance a nuanced understanding of </w:t>
      </w:r>
      <w:r w:rsidR="00DB4EFC">
        <w:t>the information sourced.</w:t>
      </w:r>
    </w:p>
    <w:p w:rsidR="00CE6C9C" w:rsidRPr="00DB4EFC" w:rsidRDefault="00770324" w:rsidP="00F9264B">
      <w:pPr>
        <w:pStyle w:val="BodyText1"/>
      </w:pPr>
      <w:r>
        <w:t>Cross</w:t>
      </w:r>
      <w:r w:rsidR="00CE0053">
        <w:t>-</w:t>
      </w:r>
      <w:r>
        <w:t>referencing was also a desirable feature, especially when students were able to identify evidence that was a key finding, supporting or contradictory evidence</w:t>
      </w:r>
      <w:r w:rsidR="00CE0053">
        <w:t>,</w:t>
      </w:r>
      <w:r>
        <w:t xml:space="preserve"> and how these sources were providing new info</w:t>
      </w:r>
      <w:r w:rsidR="00DB4EFC">
        <w:t>rmation and research prospects.</w:t>
      </w:r>
    </w:p>
    <w:p w:rsidR="00FD6E30" w:rsidRPr="00DB4EFC" w:rsidRDefault="00CE6C9C" w:rsidP="00F9264B">
      <w:pPr>
        <w:pStyle w:val="BodyText1"/>
      </w:pPr>
      <w:r>
        <w:t>Printouts of sources, especially the repetition of source types, limited the resourcefulness of student research</w:t>
      </w:r>
      <w:r w:rsidR="00CE0053">
        <w:t>,</w:t>
      </w:r>
      <w:r>
        <w:t xml:space="preserve"> as well as the complexity of analysis provided. It is recommended that students include extracts of sources and use their ten pages </w:t>
      </w:r>
      <w:r w:rsidR="00DA5428">
        <w:t xml:space="preserve">submitted </w:t>
      </w:r>
      <w:r w:rsidR="00D01686">
        <w:t xml:space="preserve">for the purposes of moderation </w:t>
      </w:r>
      <w:r>
        <w:t xml:space="preserve">to show their </w:t>
      </w:r>
      <w:r w:rsidR="00AD46CD">
        <w:t>journaling</w:t>
      </w:r>
      <w:r>
        <w:t>, analysis</w:t>
      </w:r>
      <w:r w:rsidR="00CE0053">
        <w:t>,</w:t>
      </w:r>
      <w:r>
        <w:t xml:space="preserve"> and annotations of sources</w:t>
      </w:r>
      <w:r w:rsidR="00CE0053">
        <w:t>,</w:t>
      </w:r>
      <w:r>
        <w:t xml:space="preserve"> instead</w:t>
      </w:r>
      <w:r w:rsidR="00520221">
        <w:t xml:space="preserve"> of pages which are filled with the words of the source</w:t>
      </w:r>
      <w:r>
        <w:t>.</w:t>
      </w:r>
    </w:p>
    <w:p w:rsidR="00B84676" w:rsidRPr="00FD6E30" w:rsidRDefault="00B84676" w:rsidP="00F9264B">
      <w:pPr>
        <w:pStyle w:val="BodyText1"/>
      </w:pPr>
      <w:r w:rsidRPr="00FD6E30">
        <w:t xml:space="preserve">While models and templates did allow some students to access a scaffold for analysis, these often </w:t>
      </w:r>
      <w:r w:rsidR="00520221" w:rsidRPr="00FD6E30">
        <w:t>restricted</w:t>
      </w:r>
      <w:r w:rsidRPr="00FD6E30">
        <w:t xml:space="preserve"> students to yes/no </w:t>
      </w:r>
      <w:proofErr w:type="gramStart"/>
      <w:r w:rsidRPr="00FD6E30">
        <w:t>answers</w:t>
      </w:r>
      <w:proofErr w:type="gramEnd"/>
      <w:r w:rsidRPr="00FD6E30">
        <w:t xml:space="preserve"> without any justif</w:t>
      </w:r>
      <w:r w:rsidR="00520221">
        <w:t>ication</w:t>
      </w:r>
      <w:r w:rsidR="00CE0053">
        <w:t>,</w:t>
      </w:r>
      <w:r w:rsidR="00520221">
        <w:t xml:space="preserve"> </w:t>
      </w:r>
      <w:r w:rsidR="00520221">
        <w:lastRenderedPageBreak/>
        <w:t>which ultimately limited</w:t>
      </w:r>
      <w:r w:rsidRPr="00FD6E30">
        <w:t xml:space="preserve"> student achievement. Moderators noted that many students were disadvantaged by just highlighting sources</w:t>
      </w:r>
      <w:r>
        <w:t xml:space="preserve"> and ticking boxes in scaffolds</w:t>
      </w:r>
      <w:r w:rsidRPr="00FD6E30">
        <w:t xml:space="preserve"> and not contributing any personal r</w:t>
      </w:r>
      <w:r w:rsidR="00DB4EFC">
        <w:t>eflection or analytical notes.</w:t>
      </w:r>
    </w:p>
    <w:p w:rsidR="00B84676" w:rsidRPr="00C52DE6" w:rsidRDefault="004B287A" w:rsidP="00F9264B">
      <w:pPr>
        <w:pStyle w:val="BodyText1"/>
        <w:rPr>
          <w:b/>
        </w:rPr>
      </w:pPr>
      <w:r w:rsidRPr="004B287A">
        <w:rPr>
          <w:b/>
        </w:rPr>
        <w:t>Selection of the Ten Pages for Moderation</w:t>
      </w:r>
    </w:p>
    <w:p w:rsidR="00FD6E30" w:rsidRPr="00DB4EFC" w:rsidRDefault="00FD6E30" w:rsidP="00F9264B">
      <w:pPr>
        <w:pStyle w:val="BodyText1"/>
      </w:pPr>
      <w:r>
        <w:t>Moderators requested that students select their evidence for the ten page</w:t>
      </w:r>
      <w:r w:rsidR="002E08CE">
        <w:t>s carefully. In particular:</w:t>
      </w:r>
    </w:p>
    <w:p w:rsidR="00FD6E30" w:rsidRPr="00DB4EFC" w:rsidRDefault="00FD6E30" w:rsidP="00DB4EFC">
      <w:pPr>
        <w:pStyle w:val="dotpoints"/>
      </w:pPr>
      <w:r>
        <w:t>Students should aim to fill pages and not submit half empty or blank pages</w:t>
      </w:r>
      <w:r w:rsidR="00DB4EFC" w:rsidRPr="00DB4EFC">
        <w:t>.</w:t>
      </w:r>
    </w:p>
    <w:p w:rsidR="00FD6E30" w:rsidRPr="00DB4EFC" w:rsidRDefault="00FD6E30" w:rsidP="00DB4EFC">
      <w:pPr>
        <w:pStyle w:val="dotpoints"/>
      </w:pPr>
      <w:r>
        <w:t>Students should not submit the whole folio as only the first ten pages will be read</w:t>
      </w:r>
      <w:r w:rsidR="00DB4EFC" w:rsidRPr="00DB4EFC">
        <w:t>.</w:t>
      </w:r>
    </w:p>
    <w:p w:rsidR="00FD6E30" w:rsidRPr="00DB4EFC" w:rsidRDefault="00FD6E30" w:rsidP="00DB4EFC">
      <w:pPr>
        <w:pStyle w:val="dotpoints"/>
      </w:pPr>
      <w:r>
        <w:t>Students should include extracts of sources or combinations of different sources or activities to show more effective development of the research</w:t>
      </w:r>
      <w:r w:rsidR="00DB4EFC" w:rsidRPr="00DB4EFC">
        <w:t>.</w:t>
      </w:r>
    </w:p>
    <w:p w:rsidR="00770324" w:rsidRPr="00DB4EFC" w:rsidRDefault="00FD6E30" w:rsidP="00DB4EFC">
      <w:pPr>
        <w:pStyle w:val="dotpoints"/>
      </w:pPr>
      <w:r>
        <w:t>The selection of the ten pages should be based on providing evidence across all performance standards to ensure that moderators have evidence</w:t>
      </w:r>
      <w:r w:rsidR="00520221">
        <w:t xml:space="preserve"> of all assessment criteria</w:t>
      </w:r>
      <w:r w:rsidR="00DB4EFC">
        <w:t>.</w:t>
      </w:r>
    </w:p>
    <w:p w:rsidR="00770324" w:rsidRPr="00DB4EFC" w:rsidRDefault="00520221" w:rsidP="00DB4EFC">
      <w:pPr>
        <w:pStyle w:val="dotpoints"/>
      </w:pPr>
      <w:r w:rsidRPr="00DB4EFC">
        <w:t>Students should i</w:t>
      </w:r>
      <w:r w:rsidR="00770324" w:rsidRPr="00DB4EFC">
        <w:t>nclude a sample of different processes and activities, without reproducing multiple pages of one source ty</w:t>
      </w:r>
      <w:r w:rsidR="00DB4EFC" w:rsidRPr="00DB4EFC">
        <w:t xml:space="preserve">pe </w:t>
      </w:r>
      <w:r w:rsidR="00A15DCF">
        <w:t>(</w:t>
      </w:r>
      <w:r w:rsidR="00DA5428">
        <w:t>e.g.</w:t>
      </w:r>
      <w:r w:rsidR="00DB4EFC" w:rsidRPr="00DB4EFC">
        <w:t xml:space="preserve"> surveys, interviews</w:t>
      </w:r>
      <w:r w:rsidR="00A15DCF">
        <w:t>).</w:t>
      </w:r>
    </w:p>
    <w:p w:rsidR="00770324" w:rsidRPr="00770324" w:rsidRDefault="00770324" w:rsidP="00DB4EFC">
      <w:pPr>
        <w:pStyle w:val="dotpoints"/>
      </w:pPr>
      <w:r w:rsidRPr="00DB4EFC">
        <w:t>Transcripts and results can be summarised</w:t>
      </w:r>
      <w:r w:rsidR="00DA5428">
        <w:t>,</w:t>
      </w:r>
      <w:r w:rsidRPr="00DB4EFC">
        <w:t xml:space="preserve"> as the entire interview or survey does</w:t>
      </w:r>
      <w:r>
        <w:t xml:space="preserve"> not need to be included. Inclusion of transcripts without any student annotation or reflection was less effective evidence</w:t>
      </w:r>
      <w:r w:rsidR="00520221">
        <w:t xml:space="preserve"> and limited student achievement</w:t>
      </w:r>
      <w:r w:rsidR="00DB4EFC">
        <w:t>.</w:t>
      </w:r>
    </w:p>
    <w:p w:rsidR="00565E92" w:rsidRDefault="00FD6E30">
      <w:pPr>
        <w:pStyle w:val="Italicsheading"/>
        <w:spacing w:before="240"/>
      </w:pPr>
      <w:r w:rsidRPr="00DB4EFC">
        <w:t>Development (D3)</w:t>
      </w:r>
    </w:p>
    <w:p w:rsidR="00D2706B" w:rsidRPr="00DB4EFC" w:rsidRDefault="00D2706B" w:rsidP="00F9264B">
      <w:pPr>
        <w:pStyle w:val="BodyText1"/>
      </w:pPr>
      <w:r w:rsidRPr="00DB4EFC">
        <w:t>Better student responses clearly indicated the knowledge and skills acquired that were specific to the research question.</w:t>
      </w:r>
      <w:r w:rsidR="00770324" w:rsidRPr="00DB4EFC">
        <w:t xml:space="preserve"> However,</w:t>
      </w:r>
      <w:r w:rsidRPr="00DB4EFC">
        <w:t xml:space="preserve"> </w:t>
      </w:r>
      <w:r w:rsidR="00770324" w:rsidRPr="00DB4EFC">
        <w:t>m</w:t>
      </w:r>
      <w:r w:rsidRPr="00DB4EFC">
        <w:t xml:space="preserve">any responses did not clearly indicate what new learning had occurred or how skills had been developed. </w:t>
      </w:r>
      <w:r w:rsidR="00520221" w:rsidRPr="00DB4EFC">
        <w:t>More successful evidence made clear what students already knew, how their knowledge changed, what they hoped to find out in the future, or any other que</w:t>
      </w:r>
      <w:r w:rsidR="00DB4EFC" w:rsidRPr="00DB4EFC">
        <w:t xml:space="preserve">stions </w:t>
      </w:r>
      <w:r w:rsidR="006537DF">
        <w:t xml:space="preserve">that </w:t>
      </w:r>
      <w:r w:rsidR="00DB4EFC" w:rsidRPr="00DB4EFC">
        <w:t>they had.</w:t>
      </w:r>
    </w:p>
    <w:p w:rsidR="00D2706B" w:rsidRPr="00DB4EFC" w:rsidRDefault="00D2706B" w:rsidP="00F9264B">
      <w:pPr>
        <w:pStyle w:val="BodyText1"/>
      </w:pPr>
      <w:r w:rsidRPr="00DB4EFC">
        <w:t xml:space="preserve">Specific reflection on </w:t>
      </w:r>
      <w:r w:rsidR="00520221" w:rsidRPr="00DB4EFC">
        <w:t xml:space="preserve">the changing nature of the student’s </w:t>
      </w:r>
      <w:r w:rsidRPr="00DB4EFC">
        <w:t>knowledge and skills, with particular emphasis on how these are related</w:t>
      </w:r>
      <w:r w:rsidR="00520221" w:rsidRPr="00DB4EFC">
        <w:t xml:space="preserve"> to the research question, allowed for</w:t>
      </w:r>
      <w:r w:rsidRPr="00DB4EFC">
        <w:t xml:space="preserve"> ‘highly effective’</w:t>
      </w:r>
      <w:r w:rsidR="00DB4EFC" w:rsidRPr="00DB4EFC">
        <w:t xml:space="preserve"> development to be documented.</w:t>
      </w:r>
    </w:p>
    <w:p w:rsidR="00770324" w:rsidRDefault="00770324" w:rsidP="00F9264B">
      <w:pPr>
        <w:pStyle w:val="BodyText1"/>
      </w:pPr>
      <w:r w:rsidRPr="00DB4EFC">
        <w:t>Journals or reflections that included an indication of new skills and their development, how a source shaped the student’s thinking, any contradictions or difficulties the student was dealing with</w:t>
      </w:r>
      <w:r w:rsidR="00A15DCF">
        <w:t>,</w:t>
      </w:r>
      <w:r w:rsidRPr="00DB4EFC">
        <w:t xml:space="preserve"> or how the student had im</w:t>
      </w:r>
      <w:r w:rsidR="00520221" w:rsidRPr="00DB4EFC">
        <w:t>proved or needed to improve provided</w:t>
      </w:r>
      <w:r w:rsidRPr="00DB4EFC">
        <w:t xml:space="preserve"> more effective</w:t>
      </w:r>
      <w:r w:rsidR="00DB4EFC" w:rsidRPr="00DB4EFC">
        <w:t xml:space="preserve"> evidence.</w:t>
      </w:r>
    </w:p>
    <w:p w:rsidR="00D2706B" w:rsidRPr="00DB4EFC" w:rsidRDefault="00D2706B" w:rsidP="00F9264B">
      <w:pPr>
        <w:pStyle w:val="Italicsheading"/>
      </w:pPr>
      <w:r w:rsidRPr="00DB4EFC">
        <w:t>Development (D4)</w:t>
      </w:r>
    </w:p>
    <w:p w:rsidR="00B7148B" w:rsidRPr="00C52DE6" w:rsidRDefault="004B287A" w:rsidP="00F9264B">
      <w:pPr>
        <w:pStyle w:val="BodyText1"/>
      </w:pPr>
      <w:r w:rsidRPr="004B287A">
        <w:t xml:space="preserve">This specific feature covers capabilities. </w:t>
      </w:r>
      <w:r>
        <w:t>More effective responses made the student’s understanding of the capabilities’ features, as well as evidence of the development of these capabilities, explicit throughout the folio development.</w:t>
      </w:r>
    </w:p>
    <w:p w:rsidR="00B7148B" w:rsidRPr="00520221" w:rsidRDefault="00B7148B" w:rsidP="00F9264B">
      <w:pPr>
        <w:pStyle w:val="BodyText1"/>
      </w:pPr>
      <w:r w:rsidRPr="00520221">
        <w:t xml:space="preserve">Better evidence was seen </w:t>
      </w:r>
      <w:r w:rsidR="002E08CE">
        <w:t>in folios which:</w:t>
      </w:r>
    </w:p>
    <w:p w:rsidR="00B7148B" w:rsidRPr="00520221" w:rsidRDefault="00A15DCF" w:rsidP="00DB4EFC">
      <w:pPr>
        <w:pStyle w:val="dotpoints"/>
      </w:pPr>
      <w:r>
        <w:t>r</w:t>
      </w:r>
      <w:r w:rsidR="00B7148B" w:rsidRPr="00520221">
        <w:t>eferred explicitly to the capability in the proposal and explored possible ways to develop the capability</w:t>
      </w:r>
    </w:p>
    <w:p w:rsidR="00B7148B" w:rsidRPr="00520221" w:rsidRDefault="00A15DCF" w:rsidP="00DB4EFC">
      <w:pPr>
        <w:pStyle w:val="dotpoints"/>
      </w:pPr>
      <w:r>
        <w:t>p</w:t>
      </w:r>
      <w:r w:rsidR="00B7148B" w:rsidRPr="00520221">
        <w:t>lanned for ca</w:t>
      </w:r>
      <w:r w:rsidR="00DB4EFC">
        <w:t>pability development explicitly</w:t>
      </w:r>
    </w:p>
    <w:p w:rsidR="00B7148B" w:rsidRPr="00520221" w:rsidRDefault="00A15DCF" w:rsidP="00DB4EFC">
      <w:pPr>
        <w:pStyle w:val="dotpoints"/>
      </w:pPr>
      <w:r>
        <w:t>r</w:t>
      </w:r>
      <w:r w:rsidR="00B7148B" w:rsidRPr="00520221">
        <w:t>eferred to the capability in the development of the folio in journals and reflections</w:t>
      </w:r>
    </w:p>
    <w:p w:rsidR="00B7148B" w:rsidRPr="00520221" w:rsidRDefault="00A15DCF" w:rsidP="00DB4EFC">
      <w:pPr>
        <w:pStyle w:val="dotpoints"/>
      </w:pPr>
      <w:r>
        <w:t>i</w:t>
      </w:r>
      <w:r w:rsidR="00B7148B" w:rsidRPr="00520221">
        <w:t>ncluded a reflection of the capability development as part of the folio with explicit examples and understanding included</w:t>
      </w:r>
    </w:p>
    <w:p w:rsidR="00B7148B" w:rsidRPr="00520221" w:rsidRDefault="00A15DCF" w:rsidP="00DB4EFC">
      <w:pPr>
        <w:pStyle w:val="dotpoints"/>
      </w:pPr>
      <w:proofErr w:type="gramStart"/>
      <w:r>
        <w:lastRenderedPageBreak/>
        <w:t>n</w:t>
      </w:r>
      <w:r w:rsidR="00B7148B" w:rsidRPr="00520221">
        <w:t>oted</w:t>
      </w:r>
      <w:proofErr w:type="gramEnd"/>
      <w:r w:rsidR="00B7148B" w:rsidRPr="00520221">
        <w:t xml:space="preserve"> when and where capabilities were being developed in </w:t>
      </w:r>
      <w:r w:rsidR="00520221" w:rsidRPr="00520221">
        <w:t>research processes</w:t>
      </w:r>
      <w:r w:rsidR="00B7148B" w:rsidRPr="00520221">
        <w:t xml:space="preserve"> through annotations, highlighting</w:t>
      </w:r>
      <w:r>
        <w:t>, and so on;</w:t>
      </w:r>
      <w:r w:rsidR="00A23C8D" w:rsidRPr="00520221">
        <w:t xml:space="preserve"> </w:t>
      </w:r>
      <w:r>
        <w:t>h</w:t>
      </w:r>
      <w:r w:rsidR="00A23C8D" w:rsidRPr="00520221">
        <w:t>owever,</w:t>
      </w:r>
      <w:r w:rsidR="00B7148B" w:rsidRPr="00520221">
        <w:t xml:space="preserve"> simply pointing out a capability was not enough to show a thorough or informed d</w:t>
      </w:r>
      <w:r w:rsidR="00520221" w:rsidRPr="00520221">
        <w:t>evelopment</w:t>
      </w:r>
      <w:r>
        <w:t>, and t</w:t>
      </w:r>
      <w:r w:rsidR="00520221" w:rsidRPr="00520221">
        <w:t>he best responses we</w:t>
      </w:r>
      <w:r w:rsidR="00B7148B" w:rsidRPr="00520221">
        <w:t xml:space="preserve">re able to define and develop </w:t>
      </w:r>
      <w:r w:rsidR="00A23C8D" w:rsidRPr="00520221">
        <w:t>key features of the capabilit</w:t>
      </w:r>
      <w:r>
        <w:t>ies,</w:t>
      </w:r>
      <w:r w:rsidR="00A23C8D" w:rsidRPr="00520221">
        <w:t xml:space="preserve"> </w:t>
      </w:r>
      <w:r w:rsidR="00B7148B" w:rsidRPr="00520221">
        <w:t>as well as identify</w:t>
      </w:r>
      <w:r w:rsidR="00520221" w:rsidRPr="00520221">
        <w:t xml:space="preserve"> the student’s</w:t>
      </w:r>
      <w:r w:rsidR="00A23C8D" w:rsidRPr="00520221">
        <w:t xml:space="preserve"> understanding of these</w:t>
      </w:r>
      <w:r w:rsidR="00B7148B" w:rsidRPr="00520221">
        <w:t>.</w:t>
      </w:r>
    </w:p>
    <w:p w:rsidR="00B7148B" w:rsidRPr="00520221" w:rsidRDefault="00B7148B" w:rsidP="00F9264B">
      <w:pPr>
        <w:pStyle w:val="BodyText1"/>
      </w:pPr>
      <w:r w:rsidRPr="00520221">
        <w:t>Less effective evidence</w:t>
      </w:r>
      <w:r w:rsidR="00A15DCF">
        <w:t xml:space="preserve"> included where</w:t>
      </w:r>
      <w:r w:rsidR="009D1B3C">
        <w:t>:</w:t>
      </w:r>
    </w:p>
    <w:p w:rsidR="00B7148B" w:rsidRPr="00520221" w:rsidRDefault="00A15DCF" w:rsidP="00697DDE">
      <w:pPr>
        <w:pStyle w:val="dotpoints"/>
      </w:pPr>
      <w:r>
        <w:t>t</w:t>
      </w:r>
      <w:r w:rsidR="00B7148B" w:rsidRPr="00520221">
        <w:t>he capabilities were not explicitly mentioned and moderators had to rely on inference to determine development</w:t>
      </w:r>
    </w:p>
    <w:p w:rsidR="00B7148B" w:rsidRPr="00520221" w:rsidRDefault="00A15DCF" w:rsidP="00697DDE">
      <w:pPr>
        <w:pStyle w:val="dotpoints"/>
      </w:pPr>
      <w:r>
        <w:t>c</w:t>
      </w:r>
      <w:r w:rsidR="00B7148B" w:rsidRPr="00520221">
        <w:t>apabilities were not included in the folio</w:t>
      </w:r>
    </w:p>
    <w:p w:rsidR="00B7148B" w:rsidRPr="00520221" w:rsidRDefault="00A15DCF" w:rsidP="00697DDE">
      <w:pPr>
        <w:pStyle w:val="dotpoints"/>
      </w:pPr>
      <w:proofErr w:type="gramStart"/>
      <w:r>
        <w:t>c</w:t>
      </w:r>
      <w:r w:rsidR="00B7148B" w:rsidRPr="00520221">
        <w:t>apabilities</w:t>
      </w:r>
      <w:proofErr w:type="gramEnd"/>
      <w:r w:rsidR="00B7148B" w:rsidRPr="00520221">
        <w:t xml:space="preserve"> were highlighted through annotations </w:t>
      </w:r>
      <w:r>
        <w:t>(e.g.</w:t>
      </w:r>
      <w:r w:rsidR="00B7148B" w:rsidRPr="00520221">
        <w:t xml:space="preserve"> </w:t>
      </w:r>
      <w:r>
        <w:t>‘</w:t>
      </w:r>
      <w:r w:rsidR="00B7148B" w:rsidRPr="00520221">
        <w:t>D4 here</w:t>
      </w:r>
      <w:r>
        <w:t>’)</w:t>
      </w:r>
      <w:r w:rsidR="00B7148B" w:rsidRPr="00520221">
        <w:t xml:space="preserve"> or basic reflections </w:t>
      </w:r>
      <w:r>
        <w:t>(e.g</w:t>
      </w:r>
      <w:r w:rsidR="00B7148B" w:rsidRPr="00520221">
        <w:t xml:space="preserve">. </w:t>
      </w:r>
      <w:r>
        <w:t>‘</w:t>
      </w:r>
      <w:r w:rsidR="00B7148B" w:rsidRPr="00520221">
        <w:t>I used literacy here</w:t>
      </w:r>
      <w:r>
        <w:t>’);</w:t>
      </w:r>
      <w:r w:rsidR="00B7148B" w:rsidRPr="00520221">
        <w:t xml:space="preserve"> however, these were not expanded on</w:t>
      </w:r>
      <w:r w:rsidR="00520221" w:rsidRPr="00520221">
        <w:t xml:space="preserve"> to show an understanding of the </w:t>
      </w:r>
      <w:r>
        <w:t xml:space="preserve">features of the </w:t>
      </w:r>
      <w:r w:rsidR="00520221" w:rsidRPr="00520221">
        <w:t>capabilities</w:t>
      </w:r>
      <w:r w:rsidR="00B37C77">
        <w:t>’</w:t>
      </w:r>
      <w:r w:rsidR="00520221" w:rsidRPr="00520221">
        <w:t xml:space="preserve"> features and how these were being developed</w:t>
      </w:r>
      <w:r w:rsidR="00B7148B" w:rsidRPr="00520221">
        <w:t>.</w:t>
      </w:r>
    </w:p>
    <w:p w:rsidR="00B7148B" w:rsidRPr="00520221" w:rsidRDefault="00B7148B" w:rsidP="00FE654C">
      <w:pPr>
        <w:pStyle w:val="BodyText1"/>
      </w:pPr>
      <w:r w:rsidRPr="00520221">
        <w:t xml:space="preserve">Moderators noted that more focus on capabilities was needed to ensure student success. Use of the </w:t>
      </w:r>
      <w:r w:rsidR="00CA08AF">
        <w:t>c</w:t>
      </w:r>
      <w:r w:rsidRPr="00520221">
        <w:t xml:space="preserve">apabilities document </w:t>
      </w:r>
      <w:r w:rsidR="002029C0">
        <w:t xml:space="preserve">(one of the support materials available in the Research Project </w:t>
      </w:r>
      <w:proofErr w:type="spellStart"/>
      <w:r w:rsidR="002029C0">
        <w:t>minisite</w:t>
      </w:r>
      <w:proofErr w:type="spellEnd"/>
      <w:r w:rsidR="002029C0">
        <w:t xml:space="preserve"> on the SACE website) </w:t>
      </w:r>
      <w:r w:rsidRPr="00520221">
        <w:t xml:space="preserve">provided a useful template for simple reflection and planning of the capability. Templates for encouraging students to reflect on capability development may </w:t>
      </w:r>
      <w:r w:rsidRPr="00FE654C">
        <w:t>en</w:t>
      </w:r>
      <w:r w:rsidR="00FE654C">
        <w:t>able</w:t>
      </w:r>
      <w:r w:rsidRPr="00FE654C">
        <w:t xml:space="preserve"> more</w:t>
      </w:r>
      <w:r w:rsidRPr="00520221">
        <w:t xml:space="preserve"> students to consistently refer back to the capabilities throughout</w:t>
      </w:r>
      <w:r w:rsidR="00697DDE">
        <w:t xml:space="preserve"> their folio.</w:t>
      </w:r>
    </w:p>
    <w:p w:rsidR="00A23C8D" w:rsidRPr="00520221" w:rsidRDefault="00A23C8D" w:rsidP="00F9264B">
      <w:pPr>
        <w:pStyle w:val="BodyText1"/>
      </w:pPr>
      <w:r w:rsidRPr="00520221">
        <w:t>Use of the correct cap</w:t>
      </w:r>
      <w:r w:rsidR="0016197B">
        <w:t>abilities was also required.</w:t>
      </w:r>
      <w:r w:rsidR="001F0876">
        <w:t xml:space="preserve"> </w:t>
      </w:r>
      <w:r w:rsidR="0016197B">
        <w:t>Moderators noted that</w:t>
      </w:r>
      <w:r w:rsidRPr="00520221">
        <w:t xml:space="preserve"> significa</w:t>
      </w:r>
      <w:r w:rsidR="0016197B">
        <w:t>nt numbers of students referred</w:t>
      </w:r>
      <w:r w:rsidRPr="00520221">
        <w:t xml:space="preserve"> to</w:t>
      </w:r>
      <w:r w:rsidR="00697DDE">
        <w:t xml:space="preserve"> the wrong set of capabilities.</w:t>
      </w:r>
    </w:p>
    <w:p w:rsidR="00520221" w:rsidRDefault="001A0F23" w:rsidP="00363DFA">
      <w:pPr>
        <w:pStyle w:val="AssessmentTypeHeading"/>
      </w:pPr>
      <w:r w:rsidRPr="003C7581">
        <w:t xml:space="preserve">Assessment Type 2: </w:t>
      </w:r>
      <w:r w:rsidR="00697DDE">
        <w:t>Research Outcome</w:t>
      </w:r>
    </w:p>
    <w:p w:rsidR="00A23C8D" w:rsidRPr="00697DDE" w:rsidRDefault="00A23C8D" w:rsidP="00F9264B">
      <w:pPr>
        <w:pStyle w:val="BodyText1"/>
      </w:pPr>
      <w:r w:rsidRPr="00697DDE">
        <w:t>A maj</w:t>
      </w:r>
      <w:r w:rsidR="00520221" w:rsidRPr="00697DDE">
        <w:t>ority of outcomes were written r</w:t>
      </w:r>
      <w:r w:rsidRPr="00697DDE">
        <w:t>eports or essays</w:t>
      </w:r>
      <w:r w:rsidR="00A15DCF">
        <w:t>;</w:t>
      </w:r>
      <w:r w:rsidRPr="00697DDE">
        <w:t xml:space="preserve"> however,</w:t>
      </w:r>
      <w:r w:rsidR="009A3834">
        <w:t xml:space="preserve"> </w:t>
      </w:r>
      <w:r w:rsidR="00985575">
        <w:t>in 2014</w:t>
      </w:r>
      <w:r w:rsidRPr="00697DDE">
        <w:t xml:space="preserve"> </w:t>
      </w:r>
      <w:r w:rsidR="009A3834">
        <w:t>an increased number of students used</w:t>
      </w:r>
      <w:r w:rsidRPr="00697DDE">
        <w:t xml:space="preserve"> multimodal presentations to meet the assessment </w:t>
      </w:r>
      <w:r w:rsidR="00FE654C">
        <w:t xml:space="preserve">design </w:t>
      </w:r>
      <w:r w:rsidRPr="00697DDE">
        <w:t>criteria more effectively. The use of multimodal outcomes was most successful when the outcome format allowed students to convey their key findin</w:t>
      </w:r>
      <w:r w:rsidR="00697DDE" w:rsidRPr="00697DDE">
        <w:t>gs in the most appropriate way.</w:t>
      </w:r>
    </w:p>
    <w:p w:rsidR="00A23C8D" w:rsidRDefault="00A23C8D" w:rsidP="00F9264B">
      <w:pPr>
        <w:pStyle w:val="BodyText1"/>
      </w:pPr>
      <w:r w:rsidRPr="00697DDE">
        <w:t>It was positive to see that most products were submitted with substantiation statements that detailed the key findings</w:t>
      </w:r>
      <w:r w:rsidR="00697DDE" w:rsidRPr="00697DDE">
        <w:t xml:space="preserve"> and substantiated the product.</w:t>
      </w:r>
    </w:p>
    <w:p w:rsidR="00C52DE6" w:rsidRDefault="00886B27" w:rsidP="00F9264B">
      <w:pPr>
        <w:pStyle w:val="BodyText1"/>
      </w:pPr>
      <w:r>
        <w:t>The following discussion addresses how students provided evidence of their learning in relation to the specific features of the synthesis assessment design criterion, as listed in the subject outline for this assessment type.</w:t>
      </w:r>
    </w:p>
    <w:p w:rsidR="00D2706B" w:rsidRPr="00697DDE" w:rsidRDefault="00D2706B" w:rsidP="00F9264B">
      <w:pPr>
        <w:pStyle w:val="Italicsheading"/>
      </w:pPr>
      <w:r w:rsidRPr="00697DDE">
        <w:t>Synthesis (S1)</w:t>
      </w:r>
    </w:p>
    <w:p w:rsidR="00D2706B" w:rsidRPr="0016197B" w:rsidRDefault="00D2706B" w:rsidP="00F9264B">
      <w:pPr>
        <w:pStyle w:val="BodyText1"/>
      </w:pPr>
      <w:r w:rsidRPr="0016197B">
        <w:t>Insightful synthesis of knowledge, skills</w:t>
      </w:r>
      <w:r w:rsidR="006537DF">
        <w:t>,</w:t>
      </w:r>
      <w:r w:rsidRPr="0016197B">
        <w:t xml:space="preserve"> and ideas was best shown by responses that included balanced judgments, evidence of problem</w:t>
      </w:r>
      <w:r w:rsidR="00985575">
        <w:t>-</w:t>
      </w:r>
      <w:r w:rsidRPr="0016197B">
        <w:t>solving, engagement with hypotheses</w:t>
      </w:r>
      <w:r w:rsidR="00985575">
        <w:t>,</w:t>
      </w:r>
      <w:r w:rsidRPr="0016197B">
        <w:t xml:space="preserve"> and a range of viewpoints which were used to reach a cohesive and logical conclusion.</w:t>
      </w:r>
    </w:p>
    <w:p w:rsidR="00D2706B" w:rsidRPr="0016197B" w:rsidRDefault="00D2706B" w:rsidP="00F9264B">
      <w:pPr>
        <w:pStyle w:val="BodyText1"/>
      </w:pPr>
      <w:r w:rsidRPr="0016197B">
        <w:t xml:space="preserve">Practical responses showed ‘insightful’ synthesis when evidence </w:t>
      </w:r>
      <w:r w:rsidR="009A3834" w:rsidRPr="0016197B">
        <w:t xml:space="preserve">of the process undertaken to reach the final product </w:t>
      </w:r>
      <w:r w:rsidRPr="0016197B">
        <w:t>was provided, including the range of activities undertaken</w:t>
      </w:r>
      <w:r w:rsidR="00985575">
        <w:t>, such as</w:t>
      </w:r>
      <w:r w:rsidRPr="0016197B">
        <w:t xml:space="preserve"> prototypes and trial and error. High</w:t>
      </w:r>
      <w:r w:rsidR="00985575">
        <w:t>-</w:t>
      </w:r>
      <w:r w:rsidRPr="0016197B">
        <w:t>level responses also included consideration of the replicability of the product and how the instructions or method might be accessible for others.</w:t>
      </w:r>
    </w:p>
    <w:p w:rsidR="00565E92" w:rsidRDefault="00916A34">
      <w:pPr>
        <w:pStyle w:val="Italicsheading"/>
        <w:keepNext/>
      </w:pPr>
      <w:r w:rsidRPr="00697DDE">
        <w:lastRenderedPageBreak/>
        <w:t>Synthesis (S2)</w:t>
      </w:r>
    </w:p>
    <w:p w:rsidR="00916A34" w:rsidRPr="00697DDE" w:rsidRDefault="00985575" w:rsidP="00F9264B">
      <w:pPr>
        <w:pStyle w:val="BodyText1"/>
      </w:pPr>
      <w:r>
        <w:t>‘</w:t>
      </w:r>
      <w:r w:rsidR="00916A34" w:rsidRPr="00520221">
        <w:t>Insightful</w:t>
      </w:r>
      <w:r>
        <w:t>’</w:t>
      </w:r>
      <w:r w:rsidR="00916A34" w:rsidRPr="00520221">
        <w:t xml:space="preserve"> synthesis was best shown through the integration of evidence from a range of perspectives. Students who substantiated key findings</w:t>
      </w:r>
      <w:r w:rsidR="00C52B48" w:rsidRPr="00520221">
        <w:t xml:space="preserve"> in an insightful and thorough manner </w:t>
      </w:r>
      <w:r w:rsidR="00916A34" w:rsidRPr="00520221">
        <w:t>showed insight when using multiple pieces of evidence to support conclusions.</w:t>
      </w:r>
      <w:r w:rsidR="00C52B48" w:rsidRPr="00520221">
        <w:t xml:space="preserve"> Thoroughness was achieved through the consistent use of evidence to support ideas, integration of multiple sources, consideration of appropriateness of the sources</w:t>
      </w:r>
      <w:r>
        <w:t>,</w:t>
      </w:r>
      <w:r w:rsidR="00C52B48" w:rsidRPr="00520221">
        <w:t xml:space="preserve"> and the inclusion of appropriate forms of </w:t>
      </w:r>
      <w:r w:rsidR="00C52B48" w:rsidRPr="00697DDE">
        <w:t>substantiation.</w:t>
      </w:r>
    </w:p>
    <w:p w:rsidR="00916A34" w:rsidRPr="00697DDE" w:rsidRDefault="00916A34" w:rsidP="00F9264B">
      <w:pPr>
        <w:pStyle w:val="BodyText1"/>
      </w:pPr>
      <w:r w:rsidRPr="00697DDE">
        <w:t>Moderators indicated that there were many responses which did not clearly substantiate at all. Substantiation at a ‘satisfactory’ level could include reference to activities undertaken</w:t>
      </w:r>
      <w:r w:rsidR="00985575">
        <w:t xml:space="preserve"> (e.g.</w:t>
      </w:r>
      <w:r w:rsidRPr="00697DDE">
        <w:t xml:space="preserve"> </w:t>
      </w:r>
      <w:r w:rsidR="00985575">
        <w:t>‘</w:t>
      </w:r>
      <w:proofErr w:type="gramStart"/>
      <w:r w:rsidRPr="00697DDE">
        <w:t>In</w:t>
      </w:r>
      <w:proofErr w:type="gramEnd"/>
      <w:r w:rsidRPr="00697DDE">
        <w:t xml:space="preserve"> discussing this with</w:t>
      </w:r>
      <w:r w:rsidR="00985575">
        <w:t xml:space="preserve"> </w:t>
      </w:r>
      <w:r w:rsidRPr="00697DDE">
        <w:t>…</w:t>
      </w:r>
      <w:r w:rsidR="00985575">
        <w:t>’)</w:t>
      </w:r>
      <w:r w:rsidRPr="00697DDE">
        <w:t xml:space="preserve"> or a bibliography or reference list that is</w:t>
      </w:r>
      <w:r w:rsidR="00697DDE" w:rsidRPr="00697DDE">
        <w:t xml:space="preserve"> referred to in the outcome.</w:t>
      </w:r>
    </w:p>
    <w:p w:rsidR="00916A34" w:rsidRPr="00697DDE" w:rsidRDefault="00916A34" w:rsidP="00F9264B">
      <w:pPr>
        <w:pStyle w:val="BodyText1"/>
      </w:pPr>
      <w:r w:rsidRPr="00697DDE">
        <w:t>Moderators recommended that students reference formally where possible throughout the outcome to enhance the thoroughness of the</w:t>
      </w:r>
      <w:r w:rsidR="009A3834">
        <w:t xml:space="preserve"> substantiation. Weaker student</w:t>
      </w:r>
      <w:r w:rsidRPr="00697DDE">
        <w:t xml:space="preserve"> responses produced a ‘basic’ level of substantiation when no formal reference system was used, when references were used infrequently or not at all</w:t>
      </w:r>
      <w:r w:rsidR="00985575">
        <w:t>,</w:t>
      </w:r>
      <w:r w:rsidRPr="00697DDE">
        <w:t xml:space="preserve"> or when no bibliography or reference list was attached.</w:t>
      </w:r>
    </w:p>
    <w:p w:rsidR="00916A34" w:rsidRDefault="00C52B48" w:rsidP="00F9264B">
      <w:pPr>
        <w:pStyle w:val="BodyText1"/>
      </w:pPr>
      <w:r w:rsidRPr="00697DDE">
        <w:t>Practical responses were best substantiated when multiple activities, concepts</w:t>
      </w:r>
      <w:r w:rsidR="00985575">
        <w:t>,</w:t>
      </w:r>
      <w:r w:rsidRPr="00697DDE">
        <w:t xml:space="preserve"> and research processes were referred </w:t>
      </w:r>
      <w:r w:rsidR="00697DDE" w:rsidRPr="00697DDE">
        <w:t>to.</w:t>
      </w:r>
    </w:p>
    <w:p w:rsidR="00916A34" w:rsidRPr="00697DDE" w:rsidRDefault="00916A34" w:rsidP="00F9264B">
      <w:pPr>
        <w:pStyle w:val="Italicsheading"/>
      </w:pPr>
      <w:r w:rsidRPr="00697DDE">
        <w:t>Synthesis (S3)</w:t>
      </w:r>
    </w:p>
    <w:p w:rsidR="00916A34" w:rsidRPr="00697DDE" w:rsidRDefault="00916A34" w:rsidP="00F9264B">
      <w:pPr>
        <w:pStyle w:val="BodyText1"/>
      </w:pPr>
      <w:r w:rsidRPr="00697DDE">
        <w:t xml:space="preserve">Moderators noted that there was a clear difference between </w:t>
      </w:r>
      <w:r w:rsidR="00D01686">
        <w:t>correctly</w:t>
      </w:r>
      <w:r w:rsidRPr="00697DDE">
        <w:t xml:space="preserve"> written work and clear</w:t>
      </w:r>
      <w:r w:rsidR="00D01686">
        <w:t>ly</w:t>
      </w:r>
      <w:r w:rsidRPr="00697DDE">
        <w:t xml:space="preserve"> expressed ideas. Stronger responses expressed ideas that were relevant to the resolution of the research question and allowed the intended concepts to be conveyed easily.</w:t>
      </w:r>
    </w:p>
    <w:p w:rsidR="00916A34" w:rsidRPr="00697DDE" w:rsidRDefault="00916A34" w:rsidP="00F9264B">
      <w:pPr>
        <w:pStyle w:val="BodyText1"/>
      </w:pPr>
      <w:r w:rsidRPr="00697DDE">
        <w:t xml:space="preserve">Clarity of expression was deemed to be ‘clear and coherent’ when the idea was clearly conveyed, as well as grammatically expressed. </w:t>
      </w:r>
      <w:proofErr w:type="gramStart"/>
      <w:r w:rsidR="00C52B48" w:rsidRPr="00697DDE">
        <w:t>Students</w:t>
      </w:r>
      <w:proofErr w:type="gramEnd"/>
      <w:r w:rsidRPr="00697DDE">
        <w:t xml:space="preserve"> who produced outcomes that used subheadings, focus questions</w:t>
      </w:r>
      <w:r w:rsidR="00985575">
        <w:t>,</w:t>
      </w:r>
      <w:r w:rsidRPr="00697DDE">
        <w:t xml:space="preserve"> or direct statements of key findings o</w:t>
      </w:r>
      <w:r w:rsidR="00697DDE" w:rsidRPr="00697DDE">
        <w:t>ften showed additional clarity.</w:t>
      </w:r>
    </w:p>
    <w:p w:rsidR="00916A34" w:rsidRPr="00697DDE" w:rsidRDefault="00C52B48" w:rsidP="00F9264B">
      <w:pPr>
        <w:pStyle w:val="BodyText1"/>
      </w:pPr>
      <w:r w:rsidRPr="00697DDE">
        <w:t>Copying and pasting of folio journals or reflections limited students in the clarity of their key findings. Better responses clearly indicated the key finding and the</w:t>
      </w:r>
      <w:r w:rsidR="00697DDE" w:rsidRPr="00697DDE">
        <w:t xml:space="preserve"> supporting ideas and evidence.</w:t>
      </w:r>
    </w:p>
    <w:p w:rsidR="00C52B48" w:rsidRPr="00697DDE" w:rsidRDefault="00C52B48" w:rsidP="00F9264B">
      <w:pPr>
        <w:pStyle w:val="BodyText1"/>
      </w:pPr>
      <w:r w:rsidRPr="00697DDE">
        <w:t xml:space="preserve">The best achievements came from questions that had clearly defined boundaries </w:t>
      </w:r>
      <w:r w:rsidR="006537DF">
        <w:t>that</w:t>
      </w:r>
      <w:r w:rsidR="009A3834">
        <w:t xml:space="preserve"> assisted students to write</w:t>
      </w:r>
      <w:r w:rsidRPr="00697DDE">
        <w:t xml:space="preserve"> clearl</w:t>
      </w:r>
      <w:r w:rsidR="009A3834">
        <w:t xml:space="preserve">y and </w:t>
      </w:r>
      <w:r w:rsidR="00985575">
        <w:t xml:space="preserve">to </w:t>
      </w:r>
      <w:r w:rsidR="009A3834">
        <w:t>order</w:t>
      </w:r>
      <w:r w:rsidR="00697DDE" w:rsidRPr="00697DDE">
        <w:t xml:space="preserve"> ideas logically.</w:t>
      </w:r>
    </w:p>
    <w:p w:rsidR="00C52B48" w:rsidRPr="00697DDE" w:rsidRDefault="00C52B48" w:rsidP="00F9264B">
      <w:pPr>
        <w:pStyle w:val="BodyText1"/>
      </w:pPr>
      <w:r w:rsidRPr="00697DDE">
        <w:t xml:space="preserve">Multimodal outcomes allowed students to convey information in more accessible formats. However, multimodal formats such as </w:t>
      </w:r>
      <w:r w:rsidR="009A3834" w:rsidRPr="00697DDE">
        <w:t>PowerPoint</w:t>
      </w:r>
      <w:r w:rsidR="00985575">
        <w:t xml:space="preserve"> presentations</w:t>
      </w:r>
      <w:r w:rsidRPr="00697DDE">
        <w:t xml:space="preserve"> and videos must contain substantiation and synthesis of knowledge and skills. Substantiation in multimodal formats was best shown when students included references on slides, referred to processes and materials verbally</w:t>
      </w:r>
      <w:r w:rsidR="00985575">
        <w:t>,</w:t>
      </w:r>
      <w:r w:rsidRPr="00697DDE">
        <w:t xml:space="preserve"> or included an annotated transcript.</w:t>
      </w:r>
    </w:p>
    <w:p w:rsidR="00520221" w:rsidRDefault="001A0F23" w:rsidP="00363DFA">
      <w:pPr>
        <w:pStyle w:val="AssessmentTypeHeading"/>
      </w:pPr>
      <w:r w:rsidRPr="00520221">
        <w:t>Assessment Type 3:</w:t>
      </w:r>
      <w:r w:rsidR="00520221">
        <w:t xml:space="preserve"> Review</w:t>
      </w:r>
    </w:p>
    <w:p w:rsidR="00C52B48" w:rsidRPr="00520221" w:rsidRDefault="00C52B48" w:rsidP="00F9264B">
      <w:pPr>
        <w:pStyle w:val="BodyText1"/>
      </w:pPr>
      <w:r w:rsidRPr="00520221">
        <w:t>Markers frequently commented that the design of a strong, appropriate research question led to a much more rigorous and in</w:t>
      </w:r>
      <w:r w:rsidR="00985575">
        <w:t>-</w:t>
      </w:r>
      <w:r w:rsidRPr="00520221">
        <w:t>depth review</w:t>
      </w:r>
      <w:r w:rsidR="00D01686">
        <w:t>.</w:t>
      </w:r>
    </w:p>
    <w:p w:rsidR="00196FE7" w:rsidRPr="00520221" w:rsidRDefault="00196FE7" w:rsidP="00F9264B">
      <w:pPr>
        <w:pStyle w:val="BodyText1"/>
      </w:pPr>
      <w:r w:rsidRPr="00520221">
        <w:t>A large proportion of the</w:t>
      </w:r>
      <w:r w:rsidR="00520221">
        <w:t xml:space="preserve"> student work did not meet the </w:t>
      </w:r>
      <w:r w:rsidR="003C78C9">
        <w:t>specific features</w:t>
      </w:r>
      <w:r w:rsidR="00520221">
        <w:t xml:space="preserve"> </w:t>
      </w:r>
      <w:r w:rsidR="003C78C9">
        <w:t xml:space="preserve">or the specifications </w:t>
      </w:r>
      <w:r w:rsidR="00520221">
        <w:t xml:space="preserve">for </w:t>
      </w:r>
      <w:r w:rsidR="003C78C9">
        <w:t xml:space="preserve">the </w:t>
      </w:r>
      <w:r w:rsidR="00985575">
        <w:t>r</w:t>
      </w:r>
      <w:r w:rsidR="003C78C9">
        <w:t>eview</w:t>
      </w:r>
      <w:r w:rsidR="00520221">
        <w:t xml:space="preserve"> </w:t>
      </w:r>
      <w:r w:rsidR="003C78C9">
        <w:t xml:space="preserve">that </w:t>
      </w:r>
      <w:r w:rsidR="009A030B">
        <w:t>were</w:t>
      </w:r>
      <w:r w:rsidR="003C78C9">
        <w:t xml:space="preserve"> identified in the 2014 subject outline</w:t>
      </w:r>
      <w:r w:rsidRPr="00520221">
        <w:t xml:space="preserve">. Many students wrote responses that met the assessment criteria and performance </w:t>
      </w:r>
      <w:r w:rsidRPr="00520221">
        <w:lastRenderedPageBreak/>
        <w:t>standards of the 2013</w:t>
      </w:r>
      <w:r w:rsidR="00520221">
        <w:t xml:space="preserve"> Research Project A course or for</w:t>
      </w:r>
      <w:r w:rsidRPr="00520221">
        <w:t xml:space="preserve"> the </w:t>
      </w:r>
      <w:r w:rsidR="00985575">
        <w:t>e</w:t>
      </w:r>
      <w:r w:rsidRPr="00520221">
        <w:t xml:space="preserve">valuation from Research Project B. </w:t>
      </w:r>
      <w:r w:rsidR="00520221">
        <w:t>This significantly i</w:t>
      </w:r>
      <w:r w:rsidR="00697DDE">
        <w:t>mpacted on student achievement.</w:t>
      </w:r>
    </w:p>
    <w:p w:rsidR="003E4CF7" w:rsidRPr="00520221" w:rsidRDefault="003E4CF7" w:rsidP="00F9264B">
      <w:pPr>
        <w:pStyle w:val="BodyText1"/>
      </w:pPr>
      <w:r w:rsidRPr="00520221">
        <w:t xml:space="preserve">A formal discussion of </w:t>
      </w:r>
      <w:r w:rsidR="00985575">
        <w:t>c</w:t>
      </w:r>
      <w:r w:rsidRPr="00520221">
        <w:t xml:space="preserve">apabilities, as required in the 2013 </w:t>
      </w:r>
      <w:r w:rsidR="003C78C9">
        <w:t xml:space="preserve">subject outline for </w:t>
      </w:r>
      <w:r w:rsidRPr="00520221">
        <w:t xml:space="preserve">Research Project A, was still evident among a significant number of reviews. Student responses were weakened by this practice </w:t>
      </w:r>
      <w:r w:rsidR="003C78C9">
        <w:t>because it</w:t>
      </w:r>
      <w:r w:rsidRPr="00520221">
        <w:t xml:space="preserve"> limited the number of words available for review of </w:t>
      </w:r>
      <w:r w:rsidR="00520221">
        <w:t xml:space="preserve">the other </w:t>
      </w:r>
      <w:r w:rsidR="003C78C9">
        <w:t>specific features</w:t>
      </w:r>
      <w:r w:rsidR="00697DDE">
        <w:t>.</w:t>
      </w:r>
    </w:p>
    <w:p w:rsidR="003E4CF7" w:rsidRDefault="003E4CF7" w:rsidP="00F9264B">
      <w:pPr>
        <w:pStyle w:val="BodyText1"/>
      </w:pPr>
      <w:r w:rsidRPr="00520221">
        <w:t xml:space="preserve">Many responses were weakened by overemphasis on the </w:t>
      </w:r>
      <w:r w:rsidR="003C78C9">
        <w:t>specific feature</w:t>
      </w:r>
      <w:r w:rsidRPr="00520221">
        <w:t xml:space="preserve"> R1</w:t>
      </w:r>
      <w:r w:rsidR="00A23C8D" w:rsidRPr="00520221">
        <w:t xml:space="preserve"> (</w:t>
      </w:r>
      <w:r w:rsidR="00F41F62">
        <w:t>r</w:t>
      </w:r>
      <w:r w:rsidR="00A23C8D" w:rsidRPr="00520221">
        <w:t xml:space="preserve">eview of </w:t>
      </w:r>
      <w:r w:rsidR="00F41F62">
        <w:t>k</w:t>
      </w:r>
      <w:r w:rsidR="00A23C8D" w:rsidRPr="00520221">
        <w:t xml:space="preserve">nowledge and </w:t>
      </w:r>
      <w:r w:rsidR="00F41F62">
        <w:t>s</w:t>
      </w:r>
      <w:r w:rsidR="00A23C8D" w:rsidRPr="00520221">
        <w:t>kills)</w:t>
      </w:r>
      <w:r w:rsidRPr="00520221">
        <w:t xml:space="preserve"> </w:t>
      </w:r>
      <w:r w:rsidR="00F41F62">
        <w:t>while</w:t>
      </w:r>
      <w:r w:rsidR="006537DF">
        <w:t xml:space="preserve"> </w:t>
      </w:r>
      <w:r w:rsidRPr="00520221">
        <w:t>skimming</w:t>
      </w:r>
      <w:r w:rsidR="00F41F62">
        <w:t xml:space="preserve"> over</w:t>
      </w:r>
      <w:r w:rsidRPr="00520221">
        <w:t xml:space="preserve"> R2</w:t>
      </w:r>
      <w:r w:rsidR="00A23C8D" w:rsidRPr="00520221">
        <w:t xml:space="preserve"> (</w:t>
      </w:r>
      <w:r w:rsidR="00F41F62">
        <w:t>c</w:t>
      </w:r>
      <w:r w:rsidR="00A23C8D" w:rsidRPr="00520221">
        <w:t xml:space="preserve">hallenges and </w:t>
      </w:r>
      <w:r w:rsidR="00F41F62">
        <w:t>o</w:t>
      </w:r>
      <w:r w:rsidR="00A23C8D" w:rsidRPr="00520221">
        <w:t>pportunities)</w:t>
      </w:r>
      <w:r w:rsidRPr="00520221">
        <w:t xml:space="preserve"> and R3</w:t>
      </w:r>
      <w:r w:rsidR="00A23C8D" w:rsidRPr="00520221">
        <w:t xml:space="preserve"> (</w:t>
      </w:r>
      <w:r w:rsidR="00F41F62">
        <w:t>q</w:t>
      </w:r>
      <w:r w:rsidR="00A23C8D" w:rsidRPr="00520221">
        <w:t xml:space="preserve">uality of the </w:t>
      </w:r>
      <w:r w:rsidR="00F41F62">
        <w:t>o</w:t>
      </w:r>
      <w:r w:rsidR="00A23C8D" w:rsidRPr="00520221">
        <w:t>utcome)</w:t>
      </w:r>
      <w:r w:rsidRPr="00520221">
        <w:t xml:space="preserve">. As there is a holistic and equal approach to the marking process, students who gave a more equitable weighting of words to each </w:t>
      </w:r>
      <w:r w:rsidR="003C78C9">
        <w:t>specific feature</w:t>
      </w:r>
      <w:r w:rsidRPr="00520221">
        <w:t xml:space="preserve"> w</w:t>
      </w:r>
      <w:r w:rsidR="00520221">
        <w:t>ere able to perform more successfully.</w:t>
      </w:r>
    </w:p>
    <w:p w:rsidR="00697DDE" w:rsidRDefault="006B6947" w:rsidP="00F9264B">
      <w:pPr>
        <w:pStyle w:val="BodyText1"/>
      </w:pPr>
      <w:r w:rsidRPr="00520221">
        <w:t>Students were generally ab</w:t>
      </w:r>
      <w:r w:rsidR="003C78C9">
        <w:t>le</w:t>
      </w:r>
      <w:r w:rsidRPr="00520221">
        <w:t xml:space="preserve"> to provide a </w:t>
      </w:r>
      <w:r w:rsidR="00520221">
        <w:t xml:space="preserve">clear </w:t>
      </w:r>
      <w:r w:rsidRPr="00520221">
        <w:t>summary of their research project including a statement of their question, the processes undertaken</w:t>
      </w:r>
      <w:r w:rsidR="00F41F62">
        <w:t>,</w:t>
      </w:r>
      <w:r w:rsidRPr="00520221">
        <w:t xml:space="preserve"> and the format of the outcome produced. However, many students were penalised by exceeding the word</w:t>
      </w:r>
      <w:r w:rsidR="00F41F62">
        <w:t>-limit</w:t>
      </w:r>
      <w:r w:rsidRPr="00520221">
        <w:t xml:space="preserve"> for this section. Overuse of generalisations and a lack of specificity in this sectio</w:t>
      </w:r>
      <w:r w:rsidR="00697DDE">
        <w:t>n also limited student success.</w:t>
      </w:r>
    </w:p>
    <w:p w:rsidR="006B3EF2" w:rsidRPr="00520221" w:rsidRDefault="006B3EF2" w:rsidP="00F9264B">
      <w:pPr>
        <w:pStyle w:val="BodyText1"/>
      </w:pPr>
      <w:r>
        <w:t>The following discussion examines how students provided evidence of their learning in relation to the specific features of the assessment design criteria applicable to this assessment type.</w:t>
      </w:r>
    </w:p>
    <w:p w:rsidR="006B6947" w:rsidRPr="00626BE8" w:rsidRDefault="006B6947" w:rsidP="00F9264B">
      <w:pPr>
        <w:pStyle w:val="Italicsheading"/>
      </w:pPr>
      <w:r w:rsidRPr="00626BE8">
        <w:t>Review (R1)</w:t>
      </w:r>
    </w:p>
    <w:p w:rsidR="003E4CF7" w:rsidRPr="00520221" w:rsidRDefault="003E4CF7" w:rsidP="00F9264B">
      <w:pPr>
        <w:pStyle w:val="BodyText1"/>
      </w:pPr>
      <w:r w:rsidRPr="00520221">
        <w:t>This section was often poorly completed</w:t>
      </w:r>
      <w:r w:rsidR="006537DF">
        <w:t>,</w:t>
      </w:r>
      <w:r w:rsidRPr="00520221">
        <w:t xml:space="preserve"> as many stu</w:t>
      </w:r>
      <w:r w:rsidR="00520221">
        <w:t>dents concentrated on the evaluation</w:t>
      </w:r>
      <w:r w:rsidRPr="00520221">
        <w:t xml:space="preserve"> of research sources or processes and many students undertoo</w:t>
      </w:r>
      <w:r w:rsidR="00520221">
        <w:t>k source</w:t>
      </w:r>
      <w:r w:rsidR="00F41F62">
        <w:t>-</w:t>
      </w:r>
      <w:r w:rsidR="00520221">
        <w:t>analysis summaries</w:t>
      </w:r>
      <w:r w:rsidRPr="00520221">
        <w:t xml:space="preserve">. Student responses were often weakened when their review of this section met the </w:t>
      </w:r>
      <w:r w:rsidR="003C78C9">
        <w:t>specific features</w:t>
      </w:r>
      <w:r w:rsidRPr="00520221">
        <w:t xml:space="preserve"> f</w:t>
      </w:r>
      <w:r w:rsidR="00520221">
        <w:t xml:space="preserve">or the 2013 Research Project </w:t>
      </w:r>
      <w:proofErr w:type="gramStart"/>
      <w:r w:rsidR="00520221">
        <w:t>A</w:t>
      </w:r>
      <w:proofErr w:type="gramEnd"/>
      <w:r w:rsidR="00520221">
        <w:t xml:space="preserve"> </w:t>
      </w:r>
      <w:r w:rsidR="00F41F62">
        <w:t>e</w:t>
      </w:r>
      <w:r w:rsidR="00697DDE">
        <w:t>valuation guidelines.</w:t>
      </w:r>
    </w:p>
    <w:p w:rsidR="006B6947" w:rsidRPr="00520221" w:rsidRDefault="006B6947" w:rsidP="00F9264B">
      <w:pPr>
        <w:pStyle w:val="BodyText1"/>
      </w:pPr>
      <w:r w:rsidRPr="00520221">
        <w:t>More successful students were able to clearly identify wh</w:t>
      </w:r>
      <w:r w:rsidR="00520221">
        <w:t>at new knowledge and skills had been</w:t>
      </w:r>
      <w:r w:rsidRPr="00520221">
        <w:t xml:space="preserve"> gained throughout their research. Better responses were able to explain the significance of new knowledge and skills to the resolution of their research question. Students who recognised the meaning and value of their significant findings were able to better convey th</w:t>
      </w:r>
      <w:r w:rsidR="00697DDE">
        <w:t>is development of new learning.</w:t>
      </w:r>
    </w:p>
    <w:p w:rsidR="006B6947" w:rsidRPr="00520221" w:rsidRDefault="006B6947" w:rsidP="00F9264B">
      <w:pPr>
        <w:pStyle w:val="BodyText1"/>
      </w:pPr>
      <w:r w:rsidRPr="00520221">
        <w:t xml:space="preserve">Weaker responses tended to include </w:t>
      </w:r>
      <w:r w:rsidR="00196FE7" w:rsidRPr="00520221">
        <w:t>irrelevant knowledge and skills that were not related specifically to the research question. Scaffolding of generic responses also limited student achievement</w:t>
      </w:r>
      <w:r w:rsidR="00F41F62">
        <w:t>,</w:t>
      </w:r>
      <w:r w:rsidR="00196FE7" w:rsidRPr="00520221">
        <w:t xml:space="preserve"> with many terms and ideas thrown into the review without further discussion or clarification. </w:t>
      </w:r>
      <w:r w:rsidR="00520221">
        <w:t>Stronger students were able to consider how their research had developed and what they had learnt through thi</w:t>
      </w:r>
      <w:r w:rsidR="00697DDE">
        <w:t>s process.</w:t>
      </w:r>
    </w:p>
    <w:p w:rsidR="003E4CF7" w:rsidRDefault="003E4CF7" w:rsidP="00F9264B">
      <w:pPr>
        <w:pStyle w:val="BodyText1"/>
      </w:pPr>
      <w:r w:rsidRPr="00520221">
        <w:t xml:space="preserve">Many students recounted their refinement process to show how they determined their final research question. Students who did this well were able to show </w:t>
      </w:r>
      <w:r w:rsidR="00F41F62">
        <w:t xml:space="preserve">that </w:t>
      </w:r>
      <w:r w:rsidRPr="00520221">
        <w:t>they had responded to new knowledge and skills to make this decision</w:t>
      </w:r>
      <w:r w:rsidR="00F41F62">
        <w:t>,</w:t>
      </w:r>
      <w:r w:rsidRPr="00520221">
        <w:t xml:space="preserve"> while weaker responses only recounted the process without </w:t>
      </w:r>
      <w:r w:rsidR="003C78C9">
        <w:t>addressing</w:t>
      </w:r>
      <w:r w:rsidR="00697DDE">
        <w:t xml:space="preserve"> the </w:t>
      </w:r>
      <w:r w:rsidR="003C78C9">
        <w:t>specific features</w:t>
      </w:r>
      <w:r w:rsidR="00697DDE">
        <w:t>.</w:t>
      </w:r>
    </w:p>
    <w:p w:rsidR="00697DDE" w:rsidRPr="00520221" w:rsidRDefault="00520221" w:rsidP="00F9264B">
      <w:pPr>
        <w:pStyle w:val="BodyText1"/>
      </w:pPr>
      <w:r>
        <w:t>Similarly, a recount of the research undertaken was severely limiting to student success. Those students who reviewed their learning were able to provide a more thorough and sophisticated reflection.</w:t>
      </w:r>
    </w:p>
    <w:p w:rsidR="00565E92" w:rsidRDefault="00196FE7">
      <w:pPr>
        <w:pStyle w:val="Italicsheading"/>
        <w:keepNext/>
      </w:pPr>
      <w:r w:rsidRPr="00697DDE">
        <w:lastRenderedPageBreak/>
        <w:t>Review (R2)</w:t>
      </w:r>
    </w:p>
    <w:p w:rsidR="00196FE7" w:rsidRPr="00520221" w:rsidRDefault="00196FE7" w:rsidP="00F9264B">
      <w:pPr>
        <w:pStyle w:val="BodyText1"/>
      </w:pPr>
      <w:r w:rsidRPr="00520221">
        <w:t>While most students could</w:t>
      </w:r>
      <w:r w:rsidR="00520221">
        <w:t xml:space="preserve"> briefly</w:t>
      </w:r>
      <w:r w:rsidRPr="00520221">
        <w:t xml:space="preserve"> identify challenges and opportunities that occurred, an overwhelming majority of responses did not provide </w:t>
      </w:r>
      <w:r w:rsidR="009A030B">
        <w:t xml:space="preserve">consideration </w:t>
      </w:r>
      <w:r w:rsidRPr="00520221">
        <w:t xml:space="preserve">of the decision made in response to </w:t>
      </w:r>
      <w:r w:rsidR="00520221">
        <w:t xml:space="preserve">these </w:t>
      </w:r>
      <w:r w:rsidRPr="00520221">
        <w:t>challenges or opportunities. This had a signifi</w:t>
      </w:r>
      <w:r w:rsidR="00697DDE">
        <w:t>cant impact on student success.</w:t>
      </w:r>
    </w:p>
    <w:p w:rsidR="00196FE7" w:rsidRPr="00520221" w:rsidRDefault="00196FE7" w:rsidP="00F9264B">
      <w:pPr>
        <w:pStyle w:val="BodyText1"/>
      </w:pPr>
      <w:r w:rsidRPr="00520221">
        <w:t xml:space="preserve">Many students recounted </w:t>
      </w:r>
      <w:r w:rsidR="003E4CF7" w:rsidRPr="00520221">
        <w:t xml:space="preserve">generic </w:t>
      </w:r>
      <w:r w:rsidRPr="00520221">
        <w:t xml:space="preserve">challenges </w:t>
      </w:r>
      <w:r w:rsidR="008B6A63" w:rsidRPr="00520221">
        <w:t>(time management, difficulties of obtaining sources</w:t>
      </w:r>
      <w:r w:rsidR="00F41F62">
        <w:t>,</w:t>
      </w:r>
      <w:r w:rsidR="008B6A63" w:rsidRPr="00520221">
        <w:t xml:space="preserve"> and poor organisation were common themes)</w:t>
      </w:r>
      <w:r w:rsidR="003E4CF7" w:rsidRPr="00520221">
        <w:t xml:space="preserve"> and only identified what had been the most challenging aspect of the project without further elaboration. Without this</w:t>
      </w:r>
      <w:r w:rsidRPr="00520221">
        <w:t xml:space="preserve"> reflection and review of how these challenges were dealt with, m</w:t>
      </w:r>
      <w:r w:rsidR="00697DDE">
        <w:t xml:space="preserve">uch of this recount was </w:t>
      </w:r>
      <w:r w:rsidR="00F41F62">
        <w:t>not productive</w:t>
      </w:r>
      <w:r w:rsidR="00697DDE">
        <w:t>.</w:t>
      </w:r>
    </w:p>
    <w:p w:rsidR="00196FE7" w:rsidRPr="00520221" w:rsidRDefault="00196FE7" w:rsidP="00F9264B">
      <w:pPr>
        <w:pStyle w:val="BodyText1"/>
      </w:pPr>
      <w:r w:rsidRPr="00520221">
        <w:t xml:space="preserve">Stronger student responses provided deeper insight into </w:t>
      </w:r>
      <w:r w:rsidR="006537DF">
        <w:t xml:space="preserve">challenges and </w:t>
      </w:r>
      <w:r w:rsidRPr="00520221">
        <w:t xml:space="preserve">opportunities that came about by way of the research and how these were managed. The best responses were able to articulate how these </w:t>
      </w:r>
      <w:r w:rsidR="006537DF">
        <w:t xml:space="preserve">challenges or </w:t>
      </w:r>
      <w:r w:rsidRPr="00520221">
        <w:t>opportunities shaped the research</w:t>
      </w:r>
      <w:r w:rsidR="00520221">
        <w:t xml:space="preserve"> and reviewed whether the student’s response had been appropriate</w:t>
      </w:r>
      <w:r w:rsidRPr="00520221">
        <w:t>.</w:t>
      </w:r>
    </w:p>
    <w:p w:rsidR="00FE43A2" w:rsidRPr="00520221" w:rsidRDefault="00196FE7" w:rsidP="00F9264B">
      <w:pPr>
        <w:pStyle w:val="BodyText1"/>
      </w:pPr>
      <w:r w:rsidRPr="00520221">
        <w:t>Review of the decision</w:t>
      </w:r>
      <w:r w:rsidR="00F41F62">
        <w:t>-</w:t>
      </w:r>
      <w:r w:rsidRPr="00520221">
        <w:t xml:space="preserve">making process and the consequences of these decisions </w:t>
      </w:r>
      <w:proofErr w:type="gramStart"/>
      <w:r w:rsidRPr="00520221">
        <w:t>was</w:t>
      </w:r>
      <w:proofErr w:type="gramEnd"/>
      <w:r w:rsidRPr="00520221">
        <w:t xml:space="preserve"> only seen </w:t>
      </w:r>
      <w:r w:rsidR="006537DF">
        <w:t>with</w:t>
      </w:r>
      <w:r w:rsidRPr="00520221">
        <w:t xml:space="preserve"> a limited number of students</w:t>
      </w:r>
      <w:r w:rsidR="00F41F62">
        <w:t>,</w:t>
      </w:r>
      <w:r w:rsidRPr="00520221">
        <w:t xml:space="preserve"> despite being a requirement for high</w:t>
      </w:r>
      <w:r w:rsidR="00F41F62">
        <w:t>-</w:t>
      </w:r>
      <w:r w:rsidRPr="00520221">
        <w:t xml:space="preserve">level achievement. </w:t>
      </w:r>
      <w:r w:rsidR="002F252F" w:rsidRPr="00520221">
        <w:t>The discussion of the significance of decisions was the primary focus for more successful students.</w:t>
      </w:r>
    </w:p>
    <w:p w:rsidR="008B6A63" w:rsidRPr="00FE43A2" w:rsidRDefault="008B6A63" w:rsidP="00F9264B">
      <w:pPr>
        <w:pStyle w:val="Italicsheading"/>
      </w:pPr>
      <w:r w:rsidRPr="00FE43A2">
        <w:t>Review (R3)</w:t>
      </w:r>
    </w:p>
    <w:p w:rsidR="008B6A63" w:rsidRPr="00520221" w:rsidRDefault="008B6A63" w:rsidP="00F9264B">
      <w:pPr>
        <w:pStyle w:val="BodyText1"/>
      </w:pPr>
      <w:r w:rsidRPr="00520221">
        <w:t xml:space="preserve">More successful student responses assessed the suitability of the outcome format in relation to the question and considered the purpose of the outcome and how this was met. Other features of strong responses included those that reviewed the clarity of the final piece and considered how well the question had been answered. </w:t>
      </w:r>
      <w:r w:rsidR="002F252F" w:rsidRPr="00520221">
        <w:t>Successful students also provided a brief description of the features of the outcome and the relevance</w:t>
      </w:r>
      <w:r w:rsidR="00FE43A2">
        <w:t xml:space="preserve"> of the outcome to the project.</w:t>
      </w:r>
    </w:p>
    <w:p w:rsidR="008B6A63" w:rsidRPr="00520221" w:rsidRDefault="008B6A63" w:rsidP="00F9264B">
      <w:pPr>
        <w:pStyle w:val="BodyText1"/>
      </w:pPr>
      <w:r w:rsidRPr="00520221">
        <w:t xml:space="preserve">Less successful responses made overarching generalisations about the perceived success of the research outcome and did not </w:t>
      </w:r>
      <w:r w:rsidR="003C7592">
        <w:t>justify</w:t>
      </w:r>
      <w:r w:rsidRPr="00520221">
        <w:t xml:space="preserve"> statements with evidence. Comments on features such as the length and layout of the outcome were only useful when qualified appropriately.</w:t>
      </w:r>
    </w:p>
    <w:p w:rsidR="00FE43A2" w:rsidRPr="00520221" w:rsidRDefault="002F252F" w:rsidP="00F9264B">
      <w:pPr>
        <w:pStyle w:val="BodyText1"/>
      </w:pPr>
      <w:r w:rsidRPr="00520221">
        <w:t>A review of both successes and limitations was seen in the most successful responses. Additionally, higher</w:t>
      </w:r>
      <w:r w:rsidR="00EC6EC7">
        <w:t>-</w:t>
      </w:r>
      <w:r w:rsidRPr="00520221">
        <w:t xml:space="preserve">level achievement was enhanced by the use of justifications and examples. Students who understood the impact of limitations were able to produce much more sophisticated and nuanced </w:t>
      </w:r>
      <w:r w:rsidR="00FE43A2">
        <w:t>reviews.</w:t>
      </w:r>
    </w:p>
    <w:p w:rsidR="008B6A63" w:rsidRPr="00FE43A2" w:rsidRDefault="008B6A63" w:rsidP="00F9264B">
      <w:pPr>
        <w:pStyle w:val="Italicsheading"/>
      </w:pPr>
      <w:r w:rsidRPr="00FE43A2">
        <w:t>Synthesis (S3)</w:t>
      </w:r>
    </w:p>
    <w:p w:rsidR="008B6A63" w:rsidRPr="00520221" w:rsidRDefault="008B6A63" w:rsidP="00F9264B">
      <w:pPr>
        <w:pStyle w:val="BodyText1"/>
      </w:pPr>
      <w:r w:rsidRPr="00520221">
        <w:t>Markers felt that the clarity and fluency w</w:t>
      </w:r>
      <w:r w:rsidR="00EC6EC7">
        <w:t>ere</w:t>
      </w:r>
      <w:r w:rsidRPr="00520221">
        <w:t xml:space="preserve"> pleasing overall</w:t>
      </w:r>
      <w:r w:rsidR="003C7592">
        <w:t>,</w:t>
      </w:r>
      <w:r w:rsidRPr="00520221">
        <w:t xml:space="preserve"> with a majority of responses that were well structured. </w:t>
      </w:r>
      <w:r w:rsidR="00520221">
        <w:t>The c</w:t>
      </w:r>
      <w:r w:rsidRPr="00520221">
        <w:t>ommunication of ideas was generally logical and allowed students</w:t>
      </w:r>
      <w:r w:rsidR="00FE43A2">
        <w:t xml:space="preserve"> to convey their ideas clearly.</w:t>
      </w:r>
    </w:p>
    <w:p w:rsidR="008B6A63" w:rsidRPr="00520221" w:rsidRDefault="003E4CF7" w:rsidP="00F9264B">
      <w:pPr>
        <w:pStyle w:val="BodyText1"/>
      </w:pPr>
      <w:r w:rsidRPr="00520221">
        <w:t>Scaffolding strategies</w:t>
      </w:r>
      <w:r w:rsidR="00520221">
        <w:t xml:space="preserve"> were helpful to some </w:t>
      </w:r>
      <w:r w:rsidR="008B6A63" w:rsidRPr="00520221">
        <w:t xml:space="preserve">students who were able to use subheadings to assist in the review process. However, these scaffolds limited higher student achievement when the questions and </w:t>
      </w:r>
      <w:r w:rsidR="00EC6EC7">
        <w:t>sub</w:t>
      </w:r>
      <w:r w:rsidR="008B6A63" w:rsidRPr="00520221">
        <w:t xml:space="preserve">headings did not directly align with the performance standards. </w:t>
      </w:r>
      <w:r w:rsidRPr="00520221">
        <w:t xml:space="preserve">Students also only benefited when scaffolding strategies matched the 2014 Research Project </w:t>
      </w:r>
      <w:proofErr w:type="gramStart"/>
      <w:r w:rsidRPr="00520221">
        <w:t>A</w:t>
      </w:r>
      <w:proofErr w:type="gramEnd"/>
      <w:r w:rsidRPr="00520221">
        <w:t xml:space="preserve"> </w:t>
      </w:r>
      <w:r w:rsidR="003C7592">
        <w:t>specific features</w:t>
      </w:r>
      <w:r w:rsidRPr="00520221">
        <w:t>.</w:t>
      </w:r>
    </w:p>
    <w:p w:rsidR="001A0F23" w:rsidRDefault="00FE43A2" w:rsidP="00FE43A2">
      <w:pPr>
        <w:pStyle w:val="Heading20"/>
      </w:pPr>
      <w:r>
        <w:lastRenderedPageBreak/>
        <w:t>Operational Advice</w:t>
      </w:r>
    </w:p>
    <w:p w:rsidR="00CA08AF" w:rsidRDefault="00CA08AF" w:rsidP="00CA08AF">
      <w:pPr>
        <w:pStyle w:val="BodyText1"/>
      </w:pPr>
      <w:r>
        <w:t>School assessment tasks are set and marked by teachers. Teachers’ assessment decisions are reviewed by moderators. Teacher grades/marks should be evident on all student school assessment work.</w:t>
      </w:r>
    </w:p>
    <w:p w:rsidR="00520221" w:rsidRPr="00626BE8" w:rsidRDefault="00520221" w:rsidP="00F9264B">
      <w:pPr>
        <w:pStyle w:val="BodyText1"/>
      </w:pPr>
      <w:r w:rsidRPr="00626BE8">
        <w:t>Moderators noted that most materials were packaged in an organised manner with samples well labelled. Some issues that required additional attention from some teachers include ensuring that samples are labelled with student names and</w:t>
      </w:r>
      <w:r w:rsidR="00A10232">
        <w:t>/or</w:t>
      </w:r>
      <w:r w:rsidRPr="00626BE8">
        <w:t xml:space="preserve"> SACE nu</w:t>
      </w:r>
      <w:r w:rsidR="00FE43A2" w:rsidRPr="00626BE8">
        <w:t>mbers on all assessment types.</w:t>
      </w:r>
    </w:p>
    <w:p w:rsidR="00520221" w:rsidRPr="00626BE8" w:rsidRDefault="00520221" w:rsidP="00F9264B">
      <w:pPr>
        <w:pStyle w:val="BodyText1"/>
      </w:pPr>
      <w:r w:rsidRPr="00626BE8">
        <w:t>Moderators also commented that assessment sheets which indicated how performance standards for each assessment type had been marked were helpful for providing clearer feedbac</w:t>
      </w:r>
      <w:r w:rsidR="00FE43A2" w:rsidRPr="00626BE8">
        <w:t>k if adjustments were required.</w:t>
      </w:r>
    </w:p>
    <w:p w:rsidR="00520221" w:rsidRPr="00626BE8" w:rsidRDefault="00520221" w:rsidP="00F9264B">
      <w:pPr>
        <w:pStyle w:val="BodyText1"/>
      </w:pPr>
      <w:r w:rsidRPr="00626BE8">
        <w:t>Markers noted that many samples of the external assessment pieces were identifiable with the teacher, school</w:t>
      </w:r>
      <w:r w:rsidR="00CA08AF">
        <w:t>,</w:t>
      </w:r>
      <w:r w:rsidRPr="00626BE8">
        <w:t xml:space="preserve"> and student</w:t>
      </w:r>
      <w:r w:rsidR="00FE43A2" w:rsidRPr="00626BE8">
        <w:t xml:space="preserve"> names.</w:t>
      </w:r>
      <w:r w:rsidR="001F0876">
        <w:t xml:space="preserve"> </w:t>
      </w:r>
      <w:r w:rsidR="003C7592">
        <w:t>The subject operational information indicates that ‘The school number and students’ SACE registration numbers must be used instead of school and student names’.</w:t>
      </w:r>
    </w:p>
    <w:p w:rsidR="00C52B48" w:rsidRDefault="00520221" w:rsidP="00F9264B">
      <w:pPr>
        <w:pStyle w:val="BodyText1"/>
      </w:pPr>
      <w:r w:rsidRPr="00626BE8">
        <w:t xml:space="preserve">Teachers are also reminded that moderators and markers do not read </w:t>
      </w:r>
      <w:r w:rsidR="009D1B3C">
        <w:t>past</w:t>
      </w:r>
      <w:r w:rsidRPr="00626BE8">
        <w:t xml:space="preserve"> the word</w:t>
      </w:r>
      <w:r w:rsidR="009D1B3C">
        <w:t>-limit</w:t>
      </w:r>
      <w:r w:rsidRPr="00626BE8">
        <w:t xml:space="preserve"> for each assessment type.</w:t>
      </w:r>
    </w:p>
    <w:p w:rsidR="00F9264B" w:rsidRPr="009D1B3C" w:rsidRDefault="004B287A" w:rsidP="00F9264B">
      <w:pPr>
        <w:spacing w:before="480"/>
        <w:rPr>
          <w:rFonts w:ascii="Arial" w:hAnsi="Arial"/>
          <w:color w:val="000000" w:themeColor="text1"/>
        </w:rPr>
      </w:pPr>
      <w:r w:rsidRPr="004B287A">
        <w:rPr>
          <w:rFonts w:ascii="Arial" w:hAnsi="Arial"/>
          <w:color w:val="000000" w:themeColor="text1"/>
        </w:rPr>
        <w:t>Research Project A</w:t>
      </w:r>
    </w:p>
    <w:p w:rsidR="0007499F" w:rsidRDefault="001A0F23">
      <w:pPr>
        <w:pStyle w:val="BodyText1"/>
        <w:spacing w:before="0"/>
      </w:pPr>
      <w:r w:rsidRPr="00520221">
        <w:t>Chief Assessor</w:t>
      </w:r>
    </w:p>
    <w:sectPr w:rsidR="0007499F" w:rsidSect="007D6466">
      <w:footerReference w:type="default" r:id="rId13"/>
      <w:headerReference w:type="first" r:id="rId14"/>
      <w:footerReference w:type="first" r:id="rId15"/>
      <w:pgSz w:w="11907" w:h="16840" w:code="237"/>
      <w:pgMar w:top="1418" w:right="1797" w:bottom="1134" w:left="1797" w:header="454" w:footer="454"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DE" w:rsidRDefault="00DC01DE">
      <w:r>
        <w:separator/>
      </w:r>
    </w:p>
  </w:endnote>
  <w:endnote w:type="continuationSeparator" w:id="0">
    <w:p w:rsidR="00DC01DE" w:rsidRDefault="00D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9" w:rsidRDefault="004B287A">
    <w:pPr>
      <w:pStyle w:val="Footer"/>
      <w:framePr w:wrap="around" w:vAnchor="text" w:hAnchor="margin" w:xAlign="center" w:y="1"/>
      <w:rPr>
        <w:rStyle w:val="PageNumber"/>
      </w:rPr>
    </w:pPr>
    <w:r>
      <w:rPr>
        <w:rStyle w:val="PageNumber"/>
      </w:rPr>
      <w:fldChar w:fldCharType="begin"/>
    </w:r>
    <w:r w:rsidR="009B4719">
      <w:rPr>
        <w:rStyle w:val="PageNumber"/>
      </w:rPr>
      <w:instrText xml:space="preserve">PAGE  </w:instrText>
    </w:r>
    <w:r>
      <w:rPr>
        <w:rStyle w:val="PageNumber"/>
      </w:rPr>
      <w:fldChar w:fldCharType="separate"/>
    </w:r>
    <w:r w:rsidR="009B4719">
      <w:rPr>
        <w:rStyle w:val="PageNumber"/>
        <w:noProof/>
      </w:rPr>
      <w:t>1</w:t>
    </w:r>
    <w:r>
      <w:rPr>
        <w:rStyle w:val="PageNumber"/>
      </w:rPr>
      <w:fldChar w:fldCharType="end"/>
    </w:r>
  </w:p>
  <w:p w:rsidR="009B4719" w:rsidRDefault="009B4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9" w:rsidRDefault="004B287A">
    <w:pPr>
      <w:pStyle w:val="Footer"/>
      <w:framePr w:wrap="around" w:vAnchor="text" w:hAnchor="margin" w:xAlign="center" w:y="1"/>
      <w:rPr>
        <w:rStyle w:val="PageNumber"/>
      </w:rPr>
    </w:pPr>
    <w:r>
      <w:rPr>
        <w:rStyle w:val="PageNumber"/>
      </w:rPr>
      <w:fldChar w:fldCharType="begin"/>
    </w:r>
    <w:r w:rsidR="009B4719">
      <w:rPr>
        <w:rStyle w:val="PageNumber"/>
      </w:rPr>
      <w:instrText xml:space="preserve">PAGE  </w:instrText>
    </w:r>
    <w:r>
      <w:rPr>
        <w:rStyle w:val="PageNumber"/>
      </w:rPr>
      <w:fldChar w:fldCharType="separate"/>
    </w:r>
    <w:r w:rsidR="009B4719">
      <w:rPr>
        <w:rStyle w:val="PageNumber"/>
        <w:noProof/>
      </w:rPr>
      <w:t>1</w:t>
    </w:r>
    <w:r>
      <w:rPr>
        <w:rStyle w:val="PageNumber"/>
      </w:rPr>
      <w:fldChar w:fldCharType="end"/>
    </w:r>
  </w:p>
  <w:p w:rsidR="009B4719" w:rsidRDefault="009B4719">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9" w:rsidRPr="005B1FDF" w:rsidRDefault="009B4719" w:rsidP="000A7E3A">
    <w:pPr>
      <w:pStyle w:val="Footer"/>
      <w:tabs>
        <w:tab w:val="clear" w:pos="4153"/>
      </w:tabs>
      <w:ind w:right="91"/>
      <w:rPr>
        <w:rFonts w:cs="Arial"/>
        <w:szCs w:val="18"/>
        <w:lang w:val="en-US"/>
      </w:rPr>
    </w:pPr>
    <w:r>
      <w:rPr>
        <w:rFonts w:cs="Arial"/>
        <w:szCs w:val="18"/>
        <w:lang w:val="en-US"/>
      </w:rPr>
      <w:t>Research Project A 2014 Chief Assessor’s Report</w:t>
    </w:r>
    <w:r>
      <w:rPr>
        <w:rFonts w:cs="Arial"/>
        <w:szCs w:val="18"/>
        <w:lang w:val="en-US"/>
      </w:rPr>
      <w:tab/>
    </w:r>
    <w:r w:rsidRPr="005B1FDF">
      <w:rPr>
        <w:rFonts w:cs="Arial"/>
        <w:szCs w:val="18"/>
        <w:lang w:val="en-US"/>
      </w:rPr>
      <w:t xml:space="preserve">Page </w:t>
    </w:r>
    <w:r w:rsidR="004B287A" w:rsidRPr="005B1FDF">
      <w:rPr>
        <w:rFonts w:cs="Arial"/>
        <w:szCs w:val="18"/>
        <w:lang w:val="en-US"/>
      </w:rPr>
      <w:fldChar w:fldCharType="begin"/>
    </w:r>
    <w:r w:rsidRPr="005B1FDF">
      <w:rPr>
        <w:rFonts w:cs="Arial"/>
        <w:szCs w:val="18"/>
        <w:lang w:val="en-US"/>
      </w:rPr>
      <w:instrText xml:space="preserve"> PAGE </w:instrText>
    </w:r>
    <w:r w:rsidR="004B287A" w:rsidRPr="005B1FDF">
      <w:rPr>
        <w:rFonts w:cs="Arial"/>
        <w:szCs w:val="18"/>
        <w:lang w:val="en-US"/>
      </w:rPr>
      <w:fldChar w:fldCharType="separate"/>
    </w:r>
    <w:r w:rsidR="00CA22F5">
      <w:rPr>
        <w:rFonts w:cs="Arial"/>
        <w:noProof/>
        <w:szCs w:val="18"/>
        <w:lang w:val="en-US"/>
      </w:rPr>
      <w:t>10</w:t>
    </w:r>
    <w:r w:rsidR="004B287A" w:rsidRPr="005B1FDF">
      <w:rPr>
        <w:rFonts w:cs="Arial"/>
        <w:szCs w:val="18"/>
        <w:lang w:val="en-US"/>
      </w:rPr>
      <w:fldChar w:fldCharType="end"/>
    </w:r>
    <w:r w:rsidRPr="005B1FDF">
      <w:rPr>
        <w:rFonts w:cs="Arial"/>
        <w:szCs w:val="18"/>
        <w:lang w:val="en-US"/>
      </w:rPr>
      <w:t xml:space="preserve"> of </w:t>
    </w:r>
    <w:r w:rsidR="004B287A" w:rsidRPr="005B1FDF">
      <w:rPr>
        <w:rFonts w:cs="Arial"/>
        <w:szCs w:val="18"/>
        <w:lang w:val="en-US"/>
      </w:rPr>
      <w:fldChar w:fldCharType="begin"/>
    </w:r>
    <w:r w:rsidRPr="005B1FDF">
      <w:rPr>
        <w:rFonts w:cs="Arial"/>
        <w:szCs w:val="18"/>
        <w:lang w:val="en-US"/>
      </w:rPr>
      <w:instrText xml:space="preserve"> NUMPAGES </w:instrText>
    </w:r>
    <w:r w:rsidR="004B287A" w:rsidRPr="005B1FDF">
      <w:rPr>
        <w:rFonts w:cs="Arial"/>
        <w:szCs w:val="18"/>
        <w:lang w:val="en-US"/>
      </w:rPr>
      <w:fldChar w:fldCharType="separate"/>
    </w:r>
    <w:r w:rsidR="00CA22F5">
      <w:rPr>
        <w:rFonts w:cs="Arial"/>
        <w:noProof/>
        <w:szCs w:val="18"/>
        <w:lang w:val="en-US"/>
      </w:rPr>
      <w:t>10</w:t>
    </w:r>
    <w:r w:rsidR="004B287A" w:rsidRPr="005B1FDF">
      <w:rPr>
        <w:rFonts w:cs="Arial"/>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9" w:rsidRDefault="004B287A">
    <w:pPr>
      <w:pStyle w:val="Footer"/>
      <w:framePr w:wrap="around" w:vAnchor="text" w:hAnchor="margin" w:xAlign="center" w:y="1"/>
      <w:rPr>
        <w:rStyle w:val="PageNumber"/>
      </w:rPr>
    </w:pPr>
    <w:r>
      <w:rPr>
        <w:rStyle w:val="PageNumber"/>
      </w:rPr>
      <w:fldChar w:fldCharType="begin"/>
    </w:r>
    <w:r w:rsidR="009B4719">
      <w:rPr>
        <w:rStyle w:val="PageNumber"/>
      </w:rPr>
      <w:instrText xml:space="preserve">PAGE  </w:instrText>
    </w:r>
    <w:r>
      <w:rPr>
        <w:rStyle w:val="PageNumber"/>
      </w:rPr>
      <w:fldChar w:fldCharType="separate"/>
    </w:r>
    <w:r w:rsidR="009B4719">
      <w:rPr>
        <w:rStyle w:val="PageNumber"/>
        <w:noProof/>
      </w:rPr>
      <w:t>1</w:t>
    </w:r>
    <w:r>
      <w:rPr>
        <w:rStyle w:val="PageNumber"/>
      </w:rPr>
      <w:fldChar w:fldCharType="end"/>
    </w:r>
  </w:p>
  <w:p w:rsidR="009B4719" w:rsidRDefault="009B4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DE" w:rsidRDefault="00DC01DE">
      <w:r>
        <w:separator/>
      </w:r>
    </w:p>
  </w:footnote>
  <w:footnote w:type="continuationSeparator" w:id="0">
    <w:p w:rsidR="00DC01DE" w:rsidRDefault="00DC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9" w:rsidRDefault="009B47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9" w:rsidRDefault="009B471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2EB2D70"/>
    <w:multiLevelType w:val="hybridMultilevel"/>
    <w:tmpl w:val="364090D2"/>
    <w:lvl w:ilvl="0" w:tplc="B9720272">
      <w:start w:val="20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BA0A88CE"/>
    <w:lvl w:ilvl="0" w:tplc="0D48DA70">
      <w:start w:val="1"/>
      <w:numFmt w:val="bullet"/>
      <w:pStyle w:val="dotpoints"/>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EC92E4C"/>
    <w:multiLevelType w:val="hybridMultilevel"/>
    <w:tmpl w:val="9B966770"/>
    <w:lvl w:ilvl="0" w:tplc="7082C78A">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7081C"/>
    <w:rsid w:val="0007499F"/>
    <w:rsid w:val="00095ED5"/>
    <w:rsid w:val="000A7E3A"/>
    <w:rsid w:val="000B51DE"/>
    <w:rsid w:val="000B682B"/>
    <w:rsid w:val="000C2E4E"/>
    <w:rsid w:val="000C3880"/>
    <w:rsid w:val="000E4E6A"/>
    <w:rsid w:val="000F7702"/>
    <w:rsid w:val="0010157A"/>
    <w:rsid w:val="00113786"/>
    <w:rsid w:val="001138EE"/>
    <w:rsid w:val="001474AD"/>
    <w:rsid w:val="00160240"/>
    <w:rsid w:val="0016197B"/>
    <w:rsid w:val="00165AA5"/>
    <w:rsid w:val="00184B4A"/>
    <w:rsid w:val="00196FE7"/>
    <w:rsid w:val="001A0F23"/>
    <w:rsid w:val="001A7C30"/>
    <w:rsid w:val="001B0589"/>
    <w:rsid w:val="001B602D"/>
    <w:rsid w:val="001C65C8"/>
    <w:rsid w:val="001C7099"/>
    <w:rsid w:val="001F0876"/>
    <w:rsid w:val="001F3325"/>
    <w:rsid w:val="001F4153"/>
    <w:rsid w:val="002029C0"/>
    <w:rsid w:val="002042D6"/>
    <w:rsid w:val="00205563"/>
    <w:rsid w:val="002056BF"/>
    <w:rsid w:val="002162AB"/>
    <w:rsid w:val="00225FC5"/>
    <w:rsid w:val="0024323F"/>
    <w:rsid w:val="00247A2D"/>
    <w:rsid w:val="00261161"/>
    <w:rsid w:val="002948CC"/>
    <w:rsid w:val="002A00B7"/>
    <w:rsid w:val="002A21C2"/>
    <w:rsid w:val="002B625C"/>
    <w:rsid w:val="002C59FE"/>
    <w:rsid w:val="002C5A36"/>
    <w:rsid w:val="002C62D8"/>
    <w:rsid w:val="002E08CE"/>
    <w:rsid w:val="002F252F"/>
    <w:rsid w:val="00312191"/>
    <w:rsid w:val="003463FB"/>
    <w:rsid w:val="00355FAC"/>
    <w:rsid w:val="00361D31"/>
    <w:rsid w:val="00363DFA"/>
    <w:rsid w:val="003671C1"/>
    <w:rsid w:val="003C7581"/>
    <w:rsid w:val="003C7592"/>
    <w:rsid w:val="003C78C9"/>
    <w:rsid w:val="003E183B"/>
    <w:rsid w:val="003E4CF7"/>
    <w:rsid w:val="00400509"/>
    <w:rsid w:val="00441ED8"/>
    <w:rsid w:val="00453C83"/>
    <w:rsid w:val="004875CD"/>
    <w:rsid w:val="004B287A"/>
    <w:rsid w:val="004D0F80"/>
    <w:rsid w:val="004D2A53"/>
    <w:rsid w:val="004D404E"/>
    <w:rsid w:val="004E77C7"/>
    <w:rsid w:val="00520221"/>
    <w:rsid w:val="0053196F"/>
    <w:rsid w:val="00532959"/>
    <w:rsid w:val="00537C89"/>
    <w:rsid w:val="00541CD7"/>
    <w:rsid w:val="00544E05"/>
    <w:rsid w:val="00560F4B"/>
    <w:rsid w:val="00565E92"/>
    <w:rsid w:val="00574A4E"/>
    <w:rsid w:val="00597399"/>
    <w:rsid w:val="005B0378"/>
    <w:rsid w:val="005B1FDF"/>
    <w:rsid w:val="005D713B"/>
    <w:rsid w:val="00603E07"/>
    <w:rsid w:val="00613FDD"/>
    <w:rsid w:val="00621D2D"/>
    <w:rsid w:val="006246EA"/>
    <w:rsid w:val="00626BE8"/>
    <w:rsid w:val="00651987"/>
    <w:rsid w:val="006537DF"/>
    <w:rsid w:val="0066363A"/>
    <w:rsid w:val="00663BA6"/>
    <w:rsid w:val="006829AF"/>
    <w:rsid w:val="006951B8"/>
    <w:rsid w:val="00697DDE"/>
    <w:rsid w:val="006B3EF2"/>
    <w:rsid w:val="006B6947"/>
    <w:rsid w:val="006C3FEB"/>
    <w:rsid w:val="006D39E0"/>
    <w:rsid w:val="006D46C9"/>
    <w:rsid w:val="006D663D"/>
    <w:rsid w:val="006F608A"/>
    <w:rsid w:val="007250F5"/>
    <w:rsid w:val="00744570"/>
    <w:rsid w:val="00757A06"/>
    <w:rsid w:val="00770324"/>
    <w:rsid w:val="0079634D"/>
    <w:rsid w:val="007C16AD"/>
    <w:rsid w:val="007D6466"/>
    <w:rsid w:val="0083404B"/>
    <w:rsid w:val="00843D5F"/>
    <w:rsid w:val="00847D4F"/>
    <w:rsid w:val="00886B27"/>
    <w:rsid w:val="008B6A63"/>
    <w:rsid w:val="008D4935"/>
    <w:rsid w:val="008D6093"/>
    <w:rsid w:val="008F68EB"/>
    <w:rsid w:val="00916A34"/>
    <w:rsid w:val="00951B11"/>
    <w:rsid w:val="00985575"/>
    <w:rsid w:val="009867AC"/>
    <w:rsid w:val="009A030B"/>
    <w:rsid w:val="009A3834"/>
    <w:rsid w:val="009A443D"/>
    <w:rsid w:val="009A4917"/>
    <w:rsid w:val="009B44BF"/>
    <w:rsid w:val="009B4719"/>
    <w:rsid w:val="009B5EE0"/>
    <w:rsid w:val="009C1816"/>
    <w:rsid w:val="009D13AD"/>
    <w:rsid w:val="009D1B3C"/>
    <w:rsid w:val="009F3144"/>
    <w:rsid w:val="009F4384"/>
    <w:rsid w:val="009F78D3"/>
    <w:rsid w:val="00A10232"/>
    <w:rsid w:val="00A1335F"/>
    <w:rsid w:val="00A15DCF"/>
    <w:rsid w:val="00A2287B"/>
    <w:rsid w:val="00A23C8D"/>
    <w:rsid w:val="00A53EB2"/>
    <w:rsid w:val="00A74970"/>
    <w:rsid w:val="00A956BA"/>
    <w:rsid w:val="00AB1BDE"/>
    <w:rsid w:val="00AB5993"/>
    <w:rsid w:val="00AB63FF"/>
    <w:rsid w:val="00AB649D"/>
    <w:rsid w:val="00AD46CD"/>
    <w:rsid w:val="00AF1476"/>
    <w:rsid w:val="00AF45FD"/>
    <w:rsid w:val="00B121BE"/>
    <w:rsid w:val="00B1461F"/>
    <w:rsid w:val="00B37AB5"/>
    <w:rsid w:val="00B37C77"/>
    <w:rsid w:val="00B55E8B"/>
    <w:rsid w:val="00B572E3"/>
    <w:rsid w:val="00B7041D"/>
    <w:rsid w:val="00B7148B"/>
    <w:rsid w:val="00B841FC"/>
    <w:rsid w:val="00B84676"/>
    <w:rsid w:val="00BA47C5"/>
    <w:rsid w:val="00C17EDA"/>
    <w:rsid w:val="00C36140"/>
    <w:rsid w:val="00C52B48"/>
    <w:rsid w:val="00C52DE6"/>
    <w:rsid w:val="00C61173"/>
    <w:rsid w:val="00C86F95"/>
    <w:rsid w:val="00C87071"/>
    <w:rsid w:val="00C878D2"/>
    <w:rsid w:val="00C94D01"/>
    <w:rsid w:val="00CA08AF"/>
    <w:rsid w:val="00CA1D18"/>
    <w:rsid w:val="00CA22F5"/>
    <w:rsid w:val="00CC03DA"/>
    <w:rsid w:val="00CD32DE"/>
    <w:rsid w:val="00CD6252"/>
    <w:rsid w:val="00CE0053"/>
    <w:rsid w:val="00CE6C9C"/>
    <w:rsid w:val="00D01686"/>
    <w:rsid w:val="00D108CB"/>
    <w:rsid w:val="00D2706B"/>
    <w:rsid w:val="00D27BE6"/>
    <w:rsid w:val="00D318E1"/>
    <w:rsid w:val="00DA2CD4"/>
    <w:rsid w:val="00DA4E7E"/>
    <w:rsid w:val="00DA5428"/>
    <w:rsid w:val="00DA62AE"/>
    <w:rsid w:val="00DB0401"/>
    <w:rsid w:val="00DB4EFC"/>
    <w:rsid w:val="00DB5AF3"/>
    <w:rsid w:val="00DB6E71"/>
    <w:rsid w:val="00DC01DE"/>
    <w:rsid w:val="00DC7C11"/>
    <w:rsid w:val="00DD19CB"/>
    <w:rsid w:val="00DD7C09"/>
    <w:rsid w:val="00DF2E21"/>
    <w:rsid w:val="00DF42D8"/>
    <w:rsid w:val="00E02104"/>
    <w:rsid w:val="00E253E3"/>
    <w:rsid w:val="00E4274D"/>
    <w:rsid w:val="00E55E7F"/>
    <w:rsid w:val="00E76CCB"/>
    <w:rsid w:val="00E87E9A"/>
    <w:rsid w:val="00EA125F"/>
    <w:rsid w:val="00EB12C8"/>
    <w:rsid w:val="00EC6EC7"/>
    <w:rsid w:val="00EE3F07"/>
    <w:rsid w:val="00EF31AB"/>
    <w:rsid w:val="00EF3901"/>
    <w:rsid w:val="00F02D47"/>
    <w:rsid w:val="00F41F62"/>
    <w:rsid w:val="00F42C62"/>
    <w:rsid w:val="00F5454B"/>
    <w:rsid w:val="00F802C4"/>
    <w:rsid w:val="00F9264B"/>
    <w:rsid w:val="00FA5691"/>
    <w:rsid w:val="00FD6E30"/>
    <w:rsid w:val="00FE43A2"/>
    <w:rsid w:val="00FE654C"/>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C89"/>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20221"/>
    <w:pPr>
      <w:keepNext/>
      <w:spacing w:before="480"/>
      <w:outlineLvl w:val="1"/>
    </w:pPr>
    <w:rPr>
      <w:rFonts w:ascii="Arial" w:hAnsi="Arial" w:cs="Arial"/>
      <w:szCs w:val="22"/>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rsid w:val="00A2287B"/>
    <w:pPr>
      <w:tabs>
        <w:tab w:val="center" w:pos="4153"/>
        <w:tab w:val="right" w:pos="8306"/>
      </w:tabs>
    </w:pPr>
    <w:rPr>
      <w:rFonts w:ascii="Arial" w:hAnsi="Arial"/>
      <w:sz w:val="18"/>
    </w:r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dotpoints">
    <w:name w:val="dot points"/>
    <w:basedOn w:val="Normal"/>
    <w:qFormat/>
    <w:rsid w:val="00F9264B"/>
    <w:pPr>
      <w:numPr>
        <w:numId w:val="3"/>
      </w:numPr>
      <w:ind w:left="357" w:hanging="357"/>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A2287B"/>
    <w:rPr>
      <w:rFonts w:ascii="Arial" w:hAnsi="Arial"/>
      <w:sz w:val="18"/>
      <w:lang w:eastAsia="en-US"/>
    </w:rPr>
  </w:style>
  <w:style w:type="paragraph" w:styleId="ListParagraph">
    <w:name w:val="List Paragraph"/>
    <w:basedOn w:val="Normal"/>
    <w:uiPriority w:val="34"/>
    <w:qFormat/>
    <w:rsid w:val="005B0378"/>
    <w:pPr>
      <w:ind w:left="720"/>
      <w:contextualSpacing/>
    </w:pPr>
  </w:style>
  <w:style w:type="paragraph" w:customStyle="1" w:styleId="CAHead1">
    <w:name w:val="CA Head 1"/>
    <w:qFormat/>
    <w:rsid w:val="00DB4EFC"/>
    <w:pPr>
      <w:jc w:val="center"/>
    </w:pPr>
    <w:rPr>
      <w:rFonts w:ascii="Arial Bold" w:hAnsi="Arial Bold"/>
      <w:b/>
      <w:kern w:val="28"/>
      <w:sz w:val="32"/>
      <w:lang w:eastAsia="en-US"/>
    </w:rPr>
  </w:style>
  <w:style w:type="paragraph" w:customStyle="1" w:styleId="SOBodyText">
    <w:name w:val="SO Body Text"/>
    <w:qFormat/>
    <w:rsid w:val="00DB4EFC"/>
    <w:pPr>
      <w:spacing w:before="120" w:after="120"/>
    </w:pPr>
    <w:rPr>
      <w:rFonts w:ascii="Arial" w:hAnsi="Arial"/>
      <w:sz w:val="22"/>
      <w:lang w:eastAsia="en-US"/>
    </w:rPr>
  </w:style>
  <w:style w:type="paragraph" w:customStyle="1" w:styleId="Heading20">
    <w:name w:val="Heading2"/>
    <w:aliases w:val="HeadingB"/>
    <w:qFormat/>
    <w:rsid w:val="00DB4EFC"/>
    <w:pPr>
      <w:spacing w:before="480" w:after="120"/>
    </w:pPr>
    <w:rPr>
      <w:rFonts w:ascii="Arial Bold" w:hAnsi="Arial Bold"/>
      <w:b/>
      <w:sz w:val="28"/>
      <w:lang w:eastAsia="en-US"/>
    </w:rPr>
  </w:style>
  <w:style w:type="paragraph" w:customStyle="1" w:styleId="CAHead3">
    <w:name w:val="CA Head 3"/>
    <w:qFormat/>
    <w:rsid w:val="00DB4EFC"/>
    <w:pPr>
      <w:spacing w:before="360" w:after="120"/>
    </w:pPr>
    <w:rPr>
      <w:rFonts w:ascii="Arial Narrow" w:hAnsi="Arial Narrow" w:cs="Arial"/>
      <w:b/>
      <w:bCs/>
      <w:sz w:val="28"/>
      <w:szCs w:val="28"/>
      <w:lang w:eastAsia="en-US"/>
    </w:rPr>
  </w:style>
  <w:style w:type="paragraph" w:customStyle="1" w:styleId="CAHead5">
    <w:name w:val="CA Head 5"/>
    <w:basedOn w:val="Normal"/>
    <w:qFormat/>
    <w:rsid w:val="00FE43A2"/>
    <w:pPr>
      <w:spacing w:before="240" w:after="120"/>
    </w:pPr>
    <w:rPr>
      <w:rFonts w:ascii="Arial" w:eastAsiaTheme="minorEastAsia" w:hAnsi="Arial" w:cs="Arial"/>
      <w:b/>
      <w:szCs w:val="22"/>
      <w:lang w:eastAsia="zh-CN"/>
    </w:rPr>
  </w:style>
  <w:style w:type="paragraph" w:customStyle="1" w:styleId="BodyText1">
    <w:name w:val="Body Text1"/>
    <w:basedOn w:val="Normal"/>
    <w:rsid w:val="00363DFA"/>
    <w:pPr>
      <w:spacing w:before="240" w:after="240"/>
    </w:pPr>
    <w:rPr>
      <w:rFonts w:ascii="Arial" w:hAnsi="Arial"/>
    </w:rPr>
  </w:style>
  <w:style w:type="paragraph" w:customStyle="1" w:styleId="AssessmentTypeHeading">
    <w:name w:val="Assessment Type Heading"/>
    <w:basedOn w:val="Normal"/>
    <w:qFormat/>
    <w:rsid w:val="00363DFA"/>
    <w:pPr>
      <w:spacing w:before="360"/>
    </w:pPr>
    <w:rPr>
      <w:rFonts w:ascii="Arial Narrow" w:hAnsi="Arial Narrow" w:cs="Arial"/>
      <w:b/>
      <w:bCs/>
      <w:sz w:val="28"/>
      <w:szCs w:val="28"/>
    </w:rPr>
  </w:style>
  <w:style w:type="paragraph" w:customStyle="1" w:styleId="TopicHeading1">
    <w:name w:val="TopicHeading1"/>
    <w:basedOn w:val="BodyText1"/>
    <w:qFormat/>
    <w:rsid w:val="00F9264B"/>
    <w:rPr>
      <w:b/>
      <w:bCs/>
      <w:sz w:val="24"/>
    </w:rPr>
  </w:style>
  <w:style w:type="paragraph" w:customStyle="1" w:styleId="Italicsheading">
    <w:name w:val="Italicsheading"/>
    <w:qFormat/>
    <w:rsid w:val="00F9264B"/>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C89"/>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20221"/>
    <w:pPr>
      <w:keepNext/>
      <w:spacing w:before="480"/>
      <w:outlineLvl w:val="1"/>
    </w:pPr>
    <w:rPr>
      <w:rFonts w:ascii="Arial" w:hAnsi="Arial" w:cs="Arial"/>
      <w:szCs w:val="22"/>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rsid w:val="00A2287B"/>
    <w:pPr>
      <w:tabs>
        <w:tab w:val="center" w:pos="4153"/>
        <w:tab w:val="right" w:pos="8306"/>
      </w:tabs>
    </w:pPr>
    <w:rPr>
      <w:rFonts w:ascii="Arial" w:hAnsi="Arial"/>
      <w:sz w:val="18"/>
    </w:r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dotpoints">
    <w:name w:val="dot points"/>
    <w:basedOn w:val="Normal"/>
    <w:qFormat/>
    <w:rsid w:val="00F9264B"/>
    <w:pPr>
      <w:numPr>
        <w:numId w:val="3"/>
      </w:numPr>
      <w:ind w:left="357" w:hanging="357"/>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A2287B"/>
    <w:rPr>
      <w:rFonts w:ascii="Arial" w:hAnsi="Arial"/>
      <w:sz w:val="18"/>
      <w:lang w:eastAsia="en-US"/>
    </w:rPr>
  </w:style>
  <w:style w:type="paragraph" w:styleId="ListParagraph">
    <w:name w:val="List Paragraph"/>
    <w:basedOn w:val="Normal"/>
    <w:uiPriority w:val="34"/>
    <w:qFormat/>
    <w:rsid w:val="005B0378"/>
    <w:pPr>
      <w:ind w:left="720"/>
      <w:contextualSpacing/>
    </w:pPr>
  </w:style>
  <w:style w:type="paragraph" w:customStyle="1" w:styleId="CAHead1">
    <w:name w:val="CA Head 1"/>
    <w:qFormat/>
    <w:rsid w:val="00DB4EFC"/>
    <w:pPr>
      <w:jc w:val="center"/>
    </w:pPr>
    <w:rPr>
      <w:rFonts w:ascii="Arial Bold" w:hAnsi="Arial Bold"/>
      <w:b/>
      <w:kern w:val="28"/>
      <w:sz w:val="32"/>
      <w:lang w:eastAsia="en-US"/>
    </w:rPr>
  </w:style>
  <w:style w:type="paragraph" w:customStyle="1" w:styleId="SOBodyText">
    <w:name w:val="SO Body Text"/>
    <w:qFormat/>
    <w:rsid w:val="00DB4EFC"/>
    <w:pPr>
      <w:spacing w:before="120" w:after="120"/>
    </w:pPr>
    <w:rPr>
      <w:rFonts w:ascii="Arial" w:hAnsi="Arial"/>
      <w:sz w:val="22"/>
      <w:lang w:eastAsia="en-US"/>
    </w:rPr>
  </w:style>
  <w:style w:type="paragraph" w:customStyle="1" w:styleId="Heading20">
    <w:name w:val="Heading2"/>
    <w:aliases w:val="HeadingB"/>
    <w:qFormat/>
    <w:rsid w:val="00DB4EFC"/>
    <w:pPr>
      <w:spacing w:before="480" w:after="120"/>
    </w:pPr>
    <w:rPr>
      <w:rFonts w:ascii="Arial Bold" w:hAnsi="Arial Bold"/>
      <w:b/>
      <w:sz w:val="28"/>
      <w:lang w:eastAsia="en-US"/>
    </w:rPr>
  </w:style>
  <w:style w:type="paragraph" w:customStyle="1" w:styleId="CAHead3">
    <w:name w:val="CA Head 3"/>
    <w:qFormat/>
    <w:rsid w:val="00DB4EFC"/>
    <w:pPr>
      <w:spacing w:before="360" w:after="120"/>
    </w:pPr>
    <w:rPr>
      <w:rFonts w:ascii="Arial Narrow" w:hAnsi="Arial Narrow" w:cs="Arial"/>
      <w:b/>
      <w:bCs/>
      <w:sz w:val="28"/>
      <w:szCs w:val="28"/>
      <w:lang w:eastAsia="en-US"/>
    </w:rPr>
  </w:style>
  <w:style w:type="paragraph" w:customStyle="1" w:styleId="CAHead5">
    <w:name w:val="CA Head 5"/>
    <w:basedOn w:val="Normal"/>
    <w:qFormat/>
    <w:rsid w:val="00FE43A2"/>
    <w:pPr>
      <w:spacing w:before="240" w:after="120"/>
    </w:pPr>
    <w:rPr>
      <w:rFonts w:ascii="Arial" w:eastAsiaTheme="minorEastAsia" w:hAnsi="Arial" w:cs="Arial"/>
      <w:b/>
      <w:szCs w:val="22"/>
      <w:lang w:eastAsia="zh-CN"/>
    </w:rPr>
  </w:style>
  <w:style w:type="paragraph" w:customStyle="1" w:styleId="BodyText1">
    <w:name w:val="Body Text1"/>
    <w:basedOn w:val="Normal"/>
    <w:rsid w:val="00363DFA"/>
    <w:pPr>
      <w:spacing w:before="240" w:after="240"/>
    </w:pPr>
    <w:rPr>
      <w:rFonts w:ascii="Arial" w:hAnsi="Arial"/>
    </w:rPr>
  </w:style>
  <w:style w:type="paragraph" w:customStyle="1" w:styleId="AssessmentTypeHeading">
    <w:name w:val="Assessment Type Heading"/>
    <w:basedOn w:val="Normal"/>
    <w:qFormat/>
    <w:rsid w:val="00363DFA"/>
    <w:pPr>
      <w:spacing w:before="360"/>
    </w:pPr>
    <w:rPr>
      <w:rFonts w:ascii="Arial Narrow" w:hAnsi="Arial Narrow" w:cs="Arial"/>
      <w:b/>
      <w:bCs/>
      <w:sz w:val="28"/>
      <w:szCs w:val="28"/>
    </w:rPr>
  </w:style>
  <w:style w:type="paragraph" w:customStyle="1" w:styleId="TopicHeading1">
    <w:name w:val="TopicHeading1"/>
    <w:basedOn w:val="BodyText1"/>
    <w:qFormat/>
    <w:rsid w:val="00F9264B"/>
    <w:rPr>
      <w:b/>
      <w:bCs/>
      <w:sz w:val="24"/>
    </w:rPr>
  </w:style>
  <w:style w:type="paragraph" w:customStyle="1" w:styleId="Italicsheading">
    <w:name w:val="Italicsheading"/>
    <w:qFormat/>
    <w:rsid w:val="00F9264B"/>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ACA1AA-C40B-4E9B-B234-CCB42144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1</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cp:revision>
  <cp:lastPrinted>2011-08-01T03:09:00Z</cp:lastPrinted>
  <dcterms:created xsi:type="dcterms:W3CDTF">2015-02-09T05:18:00Z</dcterms:created>
  <dcterms:modified xsi:type="dcterms:W3CDTF">2015-02-09T05:18:00Z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A411595</vt:lpwstr>
  </property>
  <property fmtid="{D5CDD505-2E9C-101B-9397-08002B2CF9AE}" pid="3" name="Objective-Comment">
    <vt:lpwstr/>
  </property>
  <property fmtid="{D5CDD505-2E9C-101B-9397-08002B2CF9AE}" pid="4" name="Objective-CreationStamp">
    <vt:filetime>2015-01-06T02:10:16Z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2015-02-09T05:08:44Z</vt:filetime>
  </property>
  <property fmtid="{D5CDD505-2E9C-101B-9397-08002B2CF9AE}" pid="9" name="Objective-Owner">
    <vt:lpwstr>Alina Pietrzyk</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Drafted</vt:lpwstr>
  </property>
  <property fmtid="{D5CDD505-2E9C-101B-9397-08002B2CF9AE}" pid="13" name="Objective-Title">
    <vt:lpwstr>2014 Research Project A Chief Assessor's Report</vt:lpwstr>
  </property>
  <property fmtid="{D5CDD505-2E9C-101B-9397-08002B2CF9AE}" pid="14" name="Objective-Version">
    <vt:lpwstr>3.3</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